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 w:eastAsiaTheme="minorEastAsia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Data S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2</w:t>
      </w:r>
    </w:p>
    <w:p>
      <w:pPr>
        <w:widowControl/>
        <w:spacing w:line="240" w:lineRule="auto"/>
        <w:jc w:val="both"/>
        <w:rPr>
          <w:rFonts w:ascii="Times New Roman" w:hAnsi="Times New Roman" w:eastAsia="WybsrgAdvTT577c760c" w:cs="Times New Roman"/>
          <w:b/>
          <w:bCs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WybsrgAdvTT577c760c" w:cs="Times New Roman"/>
          <w:b/>
          <w:bCs/>
          <w:color w:val="auto"/>
          <w:kern w:val="0"/>
          <w:sz w:val="32"/>
          <w:szCs w:val="32"/>
          <w:lang w:bidi="ar"/>
        </w:rPr>
        <w:t>Supplementary materials and methods</w:t>
      </w:r>
    </w:p>
    <w:p>
      <w:pPr>
        <w:keepNext w:val="0"/>
        <w:keepLines w:val="0"/>
        <w:widowControl/>
        <w:suppressLineNumbers w:val="0"/>
        <w:jc w:val="both"/>
        <w:rPr>
          <w:rFonts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</w:pPr>
      <w:r>
        <w:rPr>
          <w:rFonts w:ascii="Times New Roman" w:hAnsi="Times New Roman" w:eastAsia="WybsrgAdvTT577c760c" w:cs="Times New Roman"/>
          <w:color w:val="auto"/>
          <w:kern w:val="0"/>
          <w:sz w:val="32"/>
          <w:szCs w:val="32"/>
          <w:lang w:val="en-US" w:eastAsia="zh-CN" w:bidi="ar"/>
        </w:rPr>
        <w:t>Patients and tissue samples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</w:pPr>
      <w:r>
        <w:rPr>
          <w:rFonts w:hint="default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  <w:t xml:space="preserve">A total of 12 paired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human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ccRCC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specimens and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adjacent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normal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tissues</w:t>
      </w:r>
      <w:r>
        <w:rPr>
          <w:rFonts w:hint="default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  <w:t xml:space="preserve">, gathered between 2019 and 2022 from the Department of Urology at the Seventh Affiliated Hospital of Sun Yat-sen University. These samples were promptly frozen in liquid nitrogen upon collection and subsequently stored at -80°C for future analysis. The study received ethical approval from </w:t>
      </w:r>
      <w:bookmarkStart w:id="0" w:name="OLE_LINK5"/>
      <w:r>
        <w:rPr>
          <w:rFonts w:hint="default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  <w:t>the Medical Ethics Committee of the Seventh Affiliated Hospital of Sun Yat-sen University</w:t>
      </w:r>
      <w:bookmarkEnd w:id="0"/>
      <w:r>
        <w:rPr>
          <w:rFonts w:hint="default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  <w:t>, and all patients granted informed consent for their participation.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ascii="Times New Roman" w:hAnsi="Times New Roman" w:eastAsia="WybsrgAdvTT577c760c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eastAsia="WybsrgAdvTT577c760c" w:cs="Times New Roman"/>
          <w:color w:val="auto"/>
          <w:kern w:val="0"/>
          <w:sz w:val="32"/>
          <w:szCs w:val="32"/>
          <w:lang w:val="en-US" w:eastAsia="zh-CN" w:bidi="ar"/>
        </w:rPr>
        <w:t>Immunohistochemistry (IHC)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</w:pP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Immunohistochemistry was conducted following established protocols(1). Tissues were fixed in 4% formalin, paraffin-embedded, and 4 μm sections were prepared. After blocking endogenous peroxide activity and nonspecific protein binding, sections were incubated overnight at 4°C with primary antibodies. Subsequently, the sections were washed with PBS and incubated at 37°C for 1 hour with an HRP-polymer-conjugated secondary antibody, followed by DAB staining and hematoxylin counterstaining for 3 minutes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lang w:val="en-US" w:eastAsia="zh-CN" w:bidi="ar"/>
        </w:rPr>
        <w:t>(2)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. Trained investigators, unaware of the experimental conditions, assessed the slides. They quantified the proportions of positively stained cells (0, 0%; 1, 1%‐25%; 2, 26%‐50%; 3, 51%‐75%; 4, 76%‐100%) and staining intensity (0: negative, 1: weak, 2: moderate, 3: strong). The final IHC score was computed by multiplying the intensity score and the percentage score.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</w:pPr>
      <w:r>
        <w:rPr>
          <w:rFonts w:hint="eastAsia" w:ascii="Times New Roman" w:hAnsi="Times New Roman" w:eastAsia="WybsrgAdvTT577c760c" w:cs="Times New Roman"/>
          <w:color w:val="auto"/>
          <w:kern w:val="0"/>
          <w:sz w:val="32"/>
          <w:szCs w:val="32"/>
          <w:lang w:val="en-US" w:eastAsia="zh-CN" w:bidi="ar"/>
        </w:rPr>
        <w:t>R</w:t>
      </w:r>
      <w:r>
        <w:rPr>
          <w:rFonts w:hint="default" w:ascii="Times New Roman" w:hAnsi="Times New Roman" w:eastAsia="WybsrgAdvTT577c760c" w:cs="Times New Roman"/>
          <w:color w:val="auto"/>
          <w:kern w:val="0"/>
          <w:sz w:val="32"/>
          <w:szCs w:val="32"/>
          <w:lang w:val="en-US" w:eastAsia="zh-CN" w:bidi="ar"/>
        </w:rPr>
        <w:t>eferences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</w:pP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Xiao H, Wang J, Yan W, Cui Y, Chen Z, Gao X</w:t>
      </w:r>
      <w:bookmarkStart w:id="1" w:name="OLE_LINK4"/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 xml:space="preserve">, et al. </w:t>
      </w:r>
      <w:bookmarkEnd w:id="1"/>
      <w:bookmarkStart w:id="2" w:name="OLE_LINK2"/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GLUT1 regulates cell glycolysis and proliferation in prostate cancer</w:t>
      </w:r>
      <w:bookmarkEnd w:id="2"/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. Prostate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  <w:t>(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2018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lang w:val="en-US" w:eastAsia="zh-CN" w:bidi="ar"/>
        </w:rPr>
        <w:t>)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 xml:space="preserve"> 78:86-94.doi: 10.1002/pros.23448.</w:t>
      </w:r>
      <w:r>
        <w:rPr>
          <w:rFonts w:hint="default" w:ascii="Times New Roman" w:hAnsi="Times New Roman" w:eastAsia="WybsrgAdvTT577c760c" w:cs="Times New Roman"/>
          <w:color w:val="auto"/>
          <w:kern w:val="0"/>
          <w:sz w:val="24"/>
          <w:lang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</w:pP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Li J, Zhang S, Liao D, Zhang Q, Chen C, Yang X, et al. Overexpression of PFKFB3 promotes cell glycolysis and proliferation in renal cell carcinoma. BMC Cancer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lang w:val="en-US" w:eastAsia="zh-CN" w:bidi="ar"/>
        </w:rPr>
        <w:t>(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>2022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lang w:val="en-US" w:eastAsia="zh-CN" w:bidi="ar"/>
        </w:rPr>
        <w:t>)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lang w:bidi="ar"/>
        </w:rPr>
        <w:t xml:space="preserve"> Jan 20;22(1):83. doi: 10.1186/s12885-022-09183-2.</w:t>
      </w:r>
    </w:p>
    <w:p>
      <w:pPr>
        <w:widowControl/>
        <w:tabs>
          <w:tab w:val="left" w:pos="5460"/>
        </w:tabs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0"/>
          <w:sz w:val="24"/>
          <w:highlight w:val="red"/>
          <w:lang w:val="en-US" w:eastAsia="zh-CN" w:bidi="ar"/>
        </w:rPr>
      </w:pPr>
    </w:p>
    <w:p>
      <w:pPr>
        <w:widowControl/>
        <w:spacing w:line="240" w:lineRule="auto"/>
        <w:jc w:val="both"/>
        <w:rPr>
          <w:rFonts w:hint="eastAsia" w:ascii="Times New Roman" w:hAnsi="Times New Roman" w:eastAsia="WybsrgAdvTT577c760c" w:cs="Times New Roman"/>
          <w:b/>
          <w:bCs/>
          <w:color w:val="auto"/>
          <w:kern w:val="0"/>
          <w:sz w:val="24"/>
          <w:lang w:val="en-US" w:eastAsia="zh-CN" w:bidi="ar"/>
        </w:rPr>
      </w:pPr>
      <w:r>
        <w:rPr>
          <w:rFonts w:ascii="Times New Roman" w:hAnsi="Times New Roman" w:eastAsia="WybsrgAdvTT577c760c" w:cs="Times New Roman"/>
          <w:b/>
          <w:bCs/>
          <w:color w:val="auto"/>
          <w:kern w:val="0"/>
          <w:sz w:val="24"/>
          <w:lang w:bidi="ar"/>
        </w:rPr>
        <w:t xml:space="preserve">Figure </w:t>
      </w:r>
      <w:r>
        <w:rPr>
          <w:rFonts w:hint="eastAsia" w:ascii="Times New Roman" w:hAnsi="Times New Roman" w:eastAsia="WybsrgAdvTT577c760c" w:cs="Times New Roman"/>
          <w:b/>
          <w:bCs/>
          <w:color w:val="auto"/>
          <w:kern w:val="0"/>
          <w:sz w:val="24"/>
          <w:lang w:bidi="ar"/>
        </w:rPr>
        <w:t>Legends</w:t>
      </w:r>
    </w:p>
    <w:p>
      <w:pPr>
        <w:widowControl/>
        <w:tabs>
          <w:tab w:val="left" w:pos="5460"/>
        </w:tabs>
        <w:spacing w:line="240" w:lineRule="auto"/>
        <w:jc w:val="both"/>
      </w:pP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S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upplementary </w:t>
      </w:r>
      <w:r>
        <w:rPr>
          <w:rFonts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Figure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S2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.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ALOX5 is over-expressed in </w:t>
      </w:r>
      <w:bookmarkStart w:id="3" w:name="OLE_LINK155"/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human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ccRCC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specimens.</w:t>
      </w:r>
      <w:bookmarkEnd w:id="3"/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 (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A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)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The mRNA level expression of ALOX5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 in human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ccRCC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specimens </w:t>
      </w:r>
      <w:bookmarkStart w:id="4" w:name="OLE_LINK160"/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and </w:t>
      </w:r>
      <w:bookmarkStart w:id="5" w:name="OLE_LINK3"/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adjacent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normal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tissues</w:t>
      </w:r>
      <w:bookmarkEnd w:id="5"/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. </w:t>
      </w:r>
      <w:bookmarkEnd w:id="4"/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(B)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Representative images of IHC staining of ALOX5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in </w:t>
      </w:r>
      <w:bookmarkStart w:id="6" w:name="OLE_LINK158"/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ccRCC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tumor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tissues</w:t>
      </w:r>
      <w:bookmarkEnd w:id="6"/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 and normal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tissues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. (C)</w:t>
      </w:r>
      <w:bookmarkStart w:id="7" w:name="OLE_LINK1"/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I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HC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score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of ALOX5 in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>ccRCC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tumor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tissues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 and normal 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tissues.</w:t>
      </w:r>
      <w:bookmarkEnd w:id="7"/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 **</w:t>
      </w:r>
      <w:r>
        <w:rPr>
          <w:rFonts w:hint="eastAsia" w:ascii="Times New Roman" w:hAnsi="Times New Roman" w:eastAsia="WybsrgAdvTT577c760c" w:cs="Times New Roman"/>
          <w:color w:val="auto"/>
          <w:kern w:val="0"/>
          <w:sz w:val="24"/>
          <w:highlight w:val="none"/>
          <w:lang w:bidi="ar"/>
        </w:rPr>
        <w:t>P&lt;0.0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highlight w:val="none"/>
          <w:lang w:val="en-US" w:eastAsia="zh-CN" w:bidi="ar"/>
        </w:rPr>
        <w:t xml:space="preserve">1. </w:t>
      </w:r>
      <w:bookmarkStart w:id="8" w:name="_GoBack"/>
      <w:bookmarkEnd w:id="8"/>
    </w:p>
    <w:sectPr>
      <w:footerReference r:id="rId3" w:type="default"/>
      <w:pgSz w:w="11906" w:h="16838"/>
      <w:pgMar w:top="1440" w:right="1800" w:bottom="1440" w:left="1800" w:header="851" w:footer="992" w:gutter="0"/>
      <w:lnNumType w:countBy="1" w:restart="continuous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ybsrgAdvTT577c760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785844"/>
    <w:multiLevelType w:val="singleLevel"/>
    <w:tmpl w:val="1778584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NzAwZTIyMWIxNWU4MjExYmMyNTI4NDkzYTdhMzgifQ=="/>
  </w:docVars>
  <w:rsids>
    <w:rsidRoot w:val="00000000"/>
    <w:rsid w:val="05B77233"/>
    <w:rsid w:val="0EB75826"/>
    <w:rsid w:val="10A30115"/>
    <w:rsid w:val="1C200EAE"/>
    <w:rsid w:val="251F5A08"/>
    <w:rsid w:val="28327F9F"/>
    <w:rsid w:val="2E4B2CBD"/>
    <w:rsid w:val="2E6504AE"/>
    <w:rsid w:val="4AA005B8"/>
    <w:rsid w:val="4F2C2715"/>
    <w:rsid w:val="60122565"/>
    <w:rsid w:val="69342E70"/>
    <w:rsid w:val="76BA446E"/>
    <w:rsid w:val="7F6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2023-11-03T12:42:00Z</dcterms:created>
  <dc:creator>Qian</dc:creator>
  <cp:lastModifiedBy>张倩</cp:lastModifiedBy>
  <dcterms:modified xsi:type="dcterms:W3CDTF">2023-11-12T14:46:33Z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0C98054C5ACD4D9BB0C7A8F1EB1FD3B8_12</vt:lpwstr>
  </property>
</Properties>
</file>