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Default="00654E8F" w:rsidP="0001436A">
      <w:pPr>
        <w:pStyle w:val="SupplementaryMaterial"/>
      </w:pPr>
      <w:r w:rsidRPr="001549D3">
        <w:t>Supplementary Material</w:t>
      </w:r>
    </w:p>
    <w:p w14:paraId="250FAA22" w14:textId="77777777" w:rsidR="00282B8E" w:rsidRPr="00282B8E" w:rsidRDefault="00282B8E" w:rsidP="00282B8E">
      <w:pPr>
        <w:pStyle w:val="Title"/>
      </w:pPr>
    </w:p>
    <w:p w14:paraId="73A4FAAC" w14:textId="31DAE1A4" w:rsidR="00282B8E" w:rsidRDefault="00282B8E" w:rsidP="00282B8E">
      <w:pPr>
        <w:keepNext/>
        <w:jc w:val="center"/>
        <w:rPr>
          <w:b/>
          <w:bCs/>
          <w:szCs w:val="24"/>
        </w:rPr>
      </w:pPr>
      <w:r>
        <w:rPr>
          <w:b/>
          <w:bCs/>
          <w:noProof/>
        </w:rPr>
        <w:drawing>
          <wp:inline distT="0" distB="0" distL="0" distR="0" wp14:anchorId="350F22B3" wp14:editId="272DACD4">
            <wp:extent cx="5596890" cy="3653685"/>
            <wp:effectExtent l="0" t="0" r="3810" b="4445"/>
            <wp:docPr id="15" name="Picture 15"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lage of graphs and diagram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626" cy="3668527"/>
                    </a:xfrm>
                    <a:prstGeom prst="rect">
                      <a:avLst/>
                    </a:prstGeom>
                    <a:noFill/>
                  </pic:spPr>
                </pic:pic>
              </a:graphicData>
            </a:graphic>
          </wp:inline>
        </w:drawing>
      </w:r>
    </w:p>
    <w:p w14:paraId="3B020E77" w14:textId="0E7683A5" w:rsidR="00994A3D" w:rsidRPr="00282B8E" w:rsidRDefault="00282B8E" w:rsidP="00282B8E">
      <w:pPr>
        <w:keepNext/>
        <w:jc w:val="both"/>
        <w:rPr>
          <w:szCs w:val="24"/>
        </w:rPr>
      </w:pPr>
      <w:r w:rsidRPr="00282B8E">
        <w:rPr>
          <w:b/>
          <w:bCs/>
          <w:szCs w:val="24"/>
        </w:rPr>
        <w:t>Supplementary Figure 1: PBMC gating strategy</w:t>
      </w:r>
      <w:r w:rsidRPr="00282B8E">
        <w:rPr>
          <w:rFonts w:cs="Arial"/>
          <w:b/>
          <w:bCs/>
          <w:szCs w:val="24"/>
        </w:rPr>
        <w:t>.</w:t>
      </w:r>
      <w:r w:rsidRPr="00282B8E">
        <w:rPr>
          <w:b/>
          <w:bCs/>
          <w:szCs w:val="24"/>
        </w:rPr>
        <w:t xml:space="preserve"> </w:t>
      </w:r>
      <w:r w:rsidRPr="00282B8E">
        <w:rPr>
          <w:szCs w:val="24"/>
        </w:rPr>
        <w:t xml:space="preserve">Total PBMCs were gated based on morphology (using FSC-A and SSC-A readouts), after which the singlets were defined using FSC-H. PBMCs stained by Zombie Green (viability dye) were excluded from the analysis by defining the viable PBMCs for all negative events. pDCs were gated according to the expression of CD123–BV421 (DAPI detector), </w:t>
      </w:r>
      <w:proofErr w:type="spellStart"/>
      <w:r w:rsidRPr="00282B8E">
        <w:rPr>
          <w:szCs w:val="24"/>
        </w:rPr>
        <w:t>mDCs</w:t>
      </w:r>
      <w:proofErr w:type="spellEnd"/>
      <w:r w:rsidRPr="00282B8E">
        <w:rPr>
          <w:szCs w:val="24"/>
        </w:rPr>
        <w:t xml:space="preserve"> according to the expression of CD1c–BV605 (</w:t>
      </w:r>
      <w:proofErr w:type="spellStart"/>
      <w:r w:rsidRPr="00282B8E">
        <w:rPr>
          <w:szCs w:val="24"/>
        </w:rPr>
        <w:t>Qdot</w:t>
      </w:r>
      <w:proofErr w:type="spellEnd"/>
      <w:r w:rsidRPr="00282B8E">
        <w:rPr>
          <w:szCs w:val="24"/>
        </w:rPr>
        <w:t xml:space="preserve"> 605 detector), and monocytes according to the expression of CD14–PE-Cy7. All subset gates were defined according to both marker expression and SSC-A as a guideline for cell size.</w:t>
      </w:r>
    </w:p>
    <w:p w14:paraId="5D2A979B" w14:textId="77777777" w:rsidR="00282B8E" w:rsidRDefault="00282B8E">
      <w:pPr>
        <w:spacing w:before="0" w:after="200" w:line="276" w:lineRule="auto"/>
        <w:rPr>
          <w:b/>
          <w:bCs/>
          <w:szCs w:val="24"/>
        </w:rPr>
      </w:pPr>
      <w:r>
        <w:rPr>
          <w:b/>
          <w:bCs/>
          <w:szCs w:val="24"/>
        </w:rPr>
        <w:br w:type="page"/>
      </w:r>
    </w:p>
    <w:p w14:paraId="17414FCA" w14:textId="2C2D0903" w:rsidR="00282B8E" w:rsidRDefault="00282B8E" w:rsidP="00282B8E">
      <w:pPr>
        <w:keepNext/>
        <w:jc w:val="both"/>
        <w:rPr>
          <w:b/>
          <w:bCs/>
          <w:szCs w:val="24"/>
        </w:rPr>
      </w:pPr>
      <w:r>
        <w:rPr>
          <w:b/>
          <w:bCs/>
          <w:noProof/>
        </w:rPr>
        <w:lastRenderedPageBreak/>
        <w:drawing>
          <wp:inline distT="0" distB="0" distL="0" distR="0" wp14:anchorId="56BF7F7F" wp14:editId="715363EF">
            <wp:extent cx="5803265" cy="3125810"/>
            <wp:effectExtent l="0" t="0" r="6985" b="0"/>
            <wp:docPr id="3" name="Picture 3" descr="A group of graphs showing time and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graphs showing time and ti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9398" cy="3134500"/>
                    </a:xfrm>
                    <a:prstGeom prst="rect">
                      <a:avLst/>
                    </a:prstGeom>
                    <a:noFill/>
                  </pic:spPr>
                </pic:pic>
              </a:graphicData>
            </a:graphic>
          </wp:inline>
        </w:drawing>
      </w:r>
    </w:p>
    <w:p w14:paraId="3B0EEE1B" w14:textId="4799ECE4" w:rsidR="006177F2" w:rsidRDefault="00282B8E" w:rsidP="00282B8E">
      <w:pPr>
        <w:keepNext/>
        <w:jc w:val="both"/>
        <w:rPr>
          <w:szCs w:val="24"/>
        </w:rPr>
      </w:pPr>
      <w:r w:rsidRPr="00282B8E">
        <w:rPr>
          <w:b/>
          <w:bCs/>
          <w:szCs w:val="24"/>
        </w:rPr>
        <w:t xml:space="preserve">Supplementary Figure </w:t>
      </w:r>
      <w:r w:rsidR="006177F2">
        <w:rPr>
          <w:b/>
          <w:bCs/>
          <w:szCs w:val="24"/>
        </w:rPr>
        <w:t>2</w:t>
      </w:r>
      <w:r w:rsidRPr="00282B8E">
        <w:rPr>
          <w:b/>
          <w:bCs/>
          <w:szCs w:val="24"/>
        </w:rPr>
        <w:t>: TNF</w:t>
      </w:r>
      <w:r w:rsidRPr="00282B8E">
        <w:rPr>
          <w:rFonts w:cs="Arial"/>
          <w:b/>
          <w:bCs/>
          <w:szCs w:val="24"/>
        </w:rPr>
        <w:t>α</w:t>
      </w:r>
      <w:r w:rsidRPr="00282B8E">
        <w:rPr>
          <w:b/>
          <w:bCs/>
          <w:szCs w:val="24"/>
        </w:rPr>
        <w:t xml:space="preserve"> response dynamics upon varying TLR stimuli. (A) </w:t>
      </w:r>
      <w:r w:rsidRPr="00282B8E">
        <w:rPr>
          <w:szCs w:val="24"/>
        </w:rPr>
        <w:t>TNF</w:t>
      </w:r>
      <w:r w:rsidRPr="00282B8E">
        <w:rPr>
          <w:rFonts w:cs="Arial"/>
          <w:szCs w:val="24"/>
        </w:rPr>
        <w:t>α</w:t>
      </w:r>
      <w:r w:rsidRPr="00282B8E">
        <w:rPr>
          <w:szCs w:val="24"/>
        </w:rPr>
        <w:t xml:space="preserve"> response dynamics, represented as percentage of positive cells (left panel), and corresponding TNF</w:t>
      </w:r>
      <w:r w:rsidRPr="00282B8E">
        <w:rPr>
          <w:rFonts w:cs="Arial"/>
          <w:szCs w:val="24"/>
        </w:rPr>
        <w:t>α</w:t>
      </w:r>
      <w:r w:rsidRPr="00282B8E">
        <w:rPr>
          <w:szCs w:val="24"/>
        </w:rPr>
        <w:t xml:space="preserve"> secretion dynamics (right panel) upon various concentrations of R848; </w:t>
      </w:r>
      <w:r w:rsidRPr="00282B8E">
        <w:rPr>
          <w:rFonts w:cs="Arial"/>
          <w:szCs w:val="24"/>
        </w:rPr>
        <w:t xml:space="preserve">mean ± </w:t>
      </w:r>
      <w:r w:rsidRPr="00282B8E">
        <w:rPr>
          <w:szCs w:val="24"/>
        </w:rPr>
        <w:t xml:space="preserve">SEM; n = 4-14 and 5-7, for left and right panel, respectively. </w:t>
      </w:r>
      <w:r w:rsidRPr="00282B8E">
        <w:rPr>
          <w:b/>
          <w:bCs/>
          <w:szCs w:val="24"/>
        </w:rPr>
        <w:t>(B)</w:t>
      </w:r>
      <w:r w:rsidRPr="00282B8E">
        <w:rPr>
          <w:szCs w:val="24"/>
        </w:rPr>
        <w:t xml:space="preserve"> TNF</w:t>
      </w:r>
      <w:r w:rsidRPr="00282B8E">
        <w:rPr>
          <w:rFonts w:cs="Arial"/>
          <w:szCs w:val="24"/>
        </w:rPr>
        <w:t>α</w:t>
      </w:r>
      <w:r w:rsidRPr="00282B8E">
        <w:rPr>
          <w:szCs w:val="24"/>
        </w:rPr>
        <w:t xml:space="preserve"> response dynamics, represented as percentage of positive cells (left panel), and corresponding </w:t>
      </w:r>
      <w:r w:rsidRPr="00282B8E">
        <w:rPr>
          <w:rFonts w:cs="Arial"/>
          <w:szCs w:val="24"/>
        </w:rPr>
        <w:t>T</w:t>
      </w:r>
      <w:r w:rsidRPr="00282B8E">
        <w:rPr>
          <w:szCs w:val="24"/>
        </w:rPr>
        <w:t>NF</w:t>
      </w:r>
      <w:r w:rsidRPr="00282B8E">
        <w:rPr>
          <w:rFonts w:cs="Arial"/>
          <w:szCs w:val="24"/>
        </w:rPr>
        <w:t>α</w:t>
      </w:r>
      <w:r w:rsidRPr="00282B8E">
        <w:rPr>
          <w:szCs w:val="24"/>
        </w:rPr>
        <w:t xml:space="preserve"> secretion dynamics (right panel) upon various concentrations of CpG-C; </w:t>
      </w:r>
      <w:r w:rsidRPr="00282B8E">
        <w:rPr>
          <w:rFonts w:cs="Arial"/>
          <w:szCs w:val="24"/>
        </w:rPr>
        <w:t xml:space="preserve">mean ± </w:t>
      </w:r>
      <w:r w:rsidRPr="00282B8E">
        <w:rPr>
          <w:szCs w:val="24"/>
        </w:rPr>
        <w:t>SEM; n = 5-14, for both panels.</w:t>
      </w:r>
    </w:p>
    <w:p w14:paraId="22D8815D" w14:textId="77777777" w:rsidR="006177F2" w:rsidRDefault="006177F2">
      <w:pPr>
        <w:spacing w:before="0" w:after="200" w:line="276" w:lineRule="auto"/>
        <w:rPr>
          <w:szCs w:val="24"/>
        </w:rPr>
      </w:pPr>
      <w:r>
        <w:rPr>
          <w:szCs w:val="24"/>
        </w:rPr>
        <w:br w:type="page"/>
      </w:r>
    </w:p>
    <w:p w14:paraId="073BB820" w14:textId="77777777" w:rsidR="006177F2" w:rsidRDefault="006177F2" w:rsidP="006177F2">
      <w:pPr>
        <w:keepNext/>
        <w:jc w:val="both"/>
        <w:rPr>
          <w:b/>
          <w:bCs/>
          <w:szCs w:val="24"/>
        </w:rPr>
      </w:pPr>
      <w:r>
        <w:rPr>
          <w:b/>
          <w:bCs/>
          <w:noProof/>
        </w:rPr>
        <w:lastRenderedPageBreak/>
        <w:drawing>
          <wp:inline distT="0" distB="0" distL="0" distR="0" wp14:anchorId="155D797E" wp14:editId="0E15B1D1">
            <wp:extent cx="6216653" cy="4820716"/>
            <wp:effectExtent l="0" t="0" r="0" b="5715"/>
            <wp:docPr id="10" name="Picture 10" descr="A group of graphs showing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graphs showing different types of lines&#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84" t="2502" r="4472" b="3257"/>
                    <a:stretch/>
                  </pic:blipFill>
                  <pic:spPr bwMode="auto">
                    <a:xfrm>
                      <a:off x="0" y="0"/>
                      <a:ext cx="6261860" cy="4855772"/>
                    </a:xfrm>
                    <a:prstGeom prst="rect">
                      <a:avLst/>
                    </a:prstGeom>
                    <a:noFill/>
                    <a:ln>
                      <a:noFill/>
                    </a:ln>
                    <a:extLst>
                      <a:ext uri="{53640926-AAD7-44D8-BBD7-CCE9431645EC}">
                        <a14:shadowObscured xmlns:a14="http://schemas.microsoft.com/office/drawing/2010/main"/>
                      </a:ext>
                    </a:extLst>
                  </pic:spPr>
                </pic:pic>
              </a:graphicData>
            </a:graphic>
          </wp:inline>
        </w:drawing>
      </w:r>
    </w:p>
    <w:p w14:paraId="191352D5" w14:textId="77777777" w:rsidR="006177F2" w:rsidRPr="00282B8E" w:rsidRDefault="006177F2" w:rsidP="006177F2">
      <w:pPr>
        <w:keepNext/>
        <w:jc w:val="both"/>
        <w:rPr>
          <w:rFonts w:cs="Arial"/>
          <w:szCs w:val="24"/>
        </w:rPr>
      </w:pPr>
      <w:r w:rsidRPr="00282B8E">
        <w:rPr>
          <w:b/>
          <w:bCs/>
          <w:szCs w:val="24"/>
        </w:rPr>
        <w:t xml:space="preserve">Supplementary Figure </w:t>
      </w:r>
      <w:r>
        <w:rPr>
          <w:b/>
          <w:bCs/>
          <w:szCs w:val="24"/>
        </w:rPr>
        <w:t>3</w:t>
      </w:r>
      <w:r w:rsidRPr="00282B8E">
        <w:rPr>
          <w:b/>
          <w:bCs/>
          <w:szCs w:val="24"/>
        </w:rPr>
        <w:t xml:space="preserve">: IFN-induced (de-)sensitization after 1h IFNβ priming. (A) </w:t>
      </w:r>
      <w:r w:rsidRPr="00282B8E">
        <w:rPr>
          <w:szCs w:val="24"/>
        </w:rPr>
        <w:t>Schematic overview of experimental approach. pDCs were freshly isolated from buffy coats of healthy donors and rested overnight. One hours prior to activation, pDCs were either primed with different concentration of IFN</w:t>
      </w:r>
      <w:r w:rsidRPr="00282B8E">
        <w:rPr>
          <w:rFonts w:cs="Arial"/>
          <w:szCs w:val="24"/>
        </w:rPr>
        <w:t>β</w:t>
      </w:r>
      <w:r w:rsidRPr="00282B8E">
        <w:rPr>
          <w:szCs w:val="24"/>
        </w:rPr>
        <w:t xml:space="preserve"> or left unprimed, in microwells containing 25.000 cells each. Cells were activated with 5 </w:t>
      </w:r>
      <w:proofErr w:type="spellStart"/>
      <w:r w:rsidRPr="00282B8E">
        <w:rPr>
          <w:rFonts w:cs="Arial"/>
          <w:szCs w:val="24"/>
        </w:rPr>
        <w:t>μ</w:t>
      </w:r>
      <w:r w:rsidRPr="00282B8E">
        <w:rPr>
          <w:szCs w:val="24"/>
        </w:rPr>
        <w:t>g</w:t>
      </w:r>
      <w:proofErr w:type="spellEnd"/>
      <w:r w:rsidRPr="00282B8E">
        <w:rPr>
          <w:szCs w:val="24"/>
        </w:rPr>
        <w:t>/mL R848. For the first 4 hours, for every hour the supernatant got collected for cytokine quantification and cells were fixed, permeabilized and stained for intracellular IFN</w:t>
      </w:r>
      <w:r w:rsidRPr="00282B8E">
        <w:rPr>
          <w:rFonts w:cs="Arial"/>
          <w:szCs w:val="24"/>
        </w:rPr>
        <w:t>α</w:t>
      </w:r>
      <w:r w:rsidRPr="00282B8E">
        <w:rPr>
          <w:szCs w:val="24"/>
        </w:rPr>
        <w:t xml:space="preserve">. </w:t>
      </w:r>
      <w:r w:rsidRPr="00282B8E">
        <w:rPr>
          <w:b/>
          <w:bCs/>
          <w:szCs w:val="24"/>
        </w:rPr>
        <w:t>(B)</w:t>
      </w:r>
      <w:r w:rsidRPr="00282B8E">
        <w:rPr>
          <w:szCs w:val="24"/>
        </w:rPr>
        <w:t xml:space="preserve"> IFN</w:t>
      </w:r>
      <w:r w:rsidRPr="00282B8E">
        <w:rPr>
          <w:rFonts w:cs="Arial"/>
          <w:szCs w:val="24"/>
        </w:rPr>
        <w:t>α</w:t>
      </w:r>
      <w:r w:rsidRPr="00282B8E">
        <w:rPr>
          <w:szCs w:val="24"/>
        </w:rPr>
        <w:t xml:space="preserve"> secretion over time. </w:t>
      </w:r>
      <w:r w:rsidRPr="00282B8E">
        <w:rPr>
          <w:b/>
          <w:bCs/>
          <w:szCs w:val="24"/>
        </w:rPr>
        <w:t>(C)</w:t>
      </w:r>
      <w:r w:rsidRPr="00282B8E">
        <w:rPr>
          <w:szCs w:val="24"/>
        </w:rPr>
        <w:t xml:space="preserve"> IFN</w:t>
      </w:r>
      <w:r w:rsidRPr="00282B8E">
        <w:rPr>
          <w:rFonts w:cs="Arial"/>
          <w:szCs w:val="24"/>
        </w:rPr>
        <w:t xml:space="preserve">α response dynamics per different priming condition. Each connected line represents data from one donor. Data is depicted in fold change, based on the results from the unprimed conditions (dotted line). Both the percentages of IFNα positive cells (upper row), as the corresponding mean fluorescent intensities (MFIs; lower row) are depicted. </w:t>
      </w:r>
      <w:r w:rsidRPr="00282B8E">
        <w:rPr>
          <w:rFonts w:cs="Arial"/>
          <w:b/>
          <w:bCs/>
          <w:szCs w:val="24"/>
        </w:rPr>
        <w:t>(D)</w:t>
      </w:r>
      <w:r w:rsidRPr="00282B8E">
        <w:rPr>
          <w:rFonts w:cs="Arial"/>
          <w:szCs w:val="24"/>
        </w:rPr>
        <w:t xml:space="preserve"> Data as in </w:t>
      </w:r>
      <w:r w:rsidRPr="00282B8E">
        <w:rPr>
          <w:rFonts w:cs="Arial"/>
          <w:b/>
          <w:bCs/>
          <w:szCs w:val="24"/>
        </w:rPr>
        <w:t>(C</w:t>
      </w:r>
      <w:proofErr w:type="gramStart"/>
      <w:r w:rsidRPr="00282B8E">
        <w:rPr>
          <w:rFonts w:cs="Arial"/>
          <w:b/>
          <w:bCs/>
          <w:szCs w:val="24"/>
        </w:rPr>
        <w:t>)</w:t>
      </w:r>
      <w:r w:rsidRPr="00282B8E">
        <w:rPr>
          <w:rFonts w:cs="Arial"/>
          <w:szCs w:val="24"/>
        </w:rPr>
        <w:t>, but</w:t>
      </w:r>
      <w:proofErr w:type="gramEnd"/>
      <w:r w:rsidRPr="00282B8E">
        <w:rPr>
          <w:rFonts w:cs="Arial"/>
          <w:szCs w:val="24"/>
        </w:rPr>
        <w:t xml:space="preserve"> color-coded by donor across the different priming conditions.</w:t>
      </w:r>
    </w:p>
    <w:p w14:paraId="2F1EFC55" w14:textId="77777777" w:rsidR="00282B8E" w:rsidRPr="00282B8E" w:rsidRDefault="00282B8E" w:rsidP="00282B8E">
      <w:pPr>
        <w:keepNext/>
        <w:jc w:val="both"/>
        <w:rPr>
          <w:szCs w:val="24"/>
        </w:rPr>
      </w:pPr>
    </w:p>
    <w:p w14:paraId="51D1BAB3" w14:textId="77777777" w:rsidR="00282B8E" w:rsidRDefault="00282B8E">
      <w:pPr>
        <w:spacing w:before="0" w:after="200" w:line="276" w:lineRule="auto"/>
        <w:rPr>
          <w:b/>
          <w:bCs/>
          <w:szCs w:val="24"/>
        </w:rPr>
      </w:pPr>
      <w:r>
        <w:rPr>
          <w:b/>
          <w:bCs/>
          <w:szCs w:val="24"/>
        </w:rPr>
        <w:br w:type="page"/>
      </w:r>
    </w:p>
    <w:p w14:paraId="35E5FEC7" w14:textId="3783FE79" w:rsidR="00282B8E" w:rsidRDefault="00282B8E" w:rsidP="00282B8E">
      <w:pPr>
        <w:keepNext/>
        <w:jc w:val="both"/>
        <w:rPr>
          <w:b/>
          <w:bCs/>
          <w:szCs w:val="24"/>
        </w:rPr>
      </w:pPr>
      <w:r>
        <w:rPr>
          <w:b/>
          <w:bCs/>
          <w:noProof/>
        </w:rPr>
        <w:lastRenderedPageBreak/>
        <w:drawing>
          <wp:inline distT="0" distB="0" distL="0" distR="0" wp14:anchorId="5DC64564" wp14:editId="63F3767E">
            <wp:extent cx="5975985" cy="3450772"/>
            <wp:effectExtent l="0" t="0" r="5715" b="0"/>
            <wp:docPr id="9" name="Picture 9" descr="A graph of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types of numbers&#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90" t="4025" r="1442" b="4822"/>
                    <a:stretch/>
                  </pic:blipFill>
                  <pic:spPr bwMode="auto">
                    <a:xfrm>
                      <a:off x="0" y="0"/>
                      <a:ext cx="5986053" cy="3456586"/>
                    </a:xfrm>
                    <a:prstGeom prst="rect">
                      <a:avLst/>
                    </a:prstGeom>
                    <a:noFill/>
                    <a:ln>
                      <a:noFill/>
                    </a:ln>
                    <a:extLst>
                      <a:ext uri="{53640926-AAD7-44D8-BBD7-CCE9431645EC}">
                        <a14:shadowObscured xmlns:a14="http://schemas.microsoft.com/office/drawing/2010/main"/>
                      </a:ext>
                    </a:extLst>
                  </pic:spPr>
                </pic:pic>
              </a:graphicData>
            </a:graphic>
          </wp:inline>
        </w:drawing>
      </w:r>
    </w:p>
    <w:p w14:paraId="140319D6" w14:textId="04131DED" w:rsidR="007859AE" w:rsidRDefault="00282B8E" w:rsidP="00282B8E">
      <w:pPr>
        <w:keepNext/>
        <w:jc w:val="both"/>
        <w:rPr>
          <w:szCs w:val="24"/>
        </w:rPr>
      </w:pPr>
      <w:r w:rsidRPr="00282B8E">
        <w:rPr>
          <w:b/>
          <w:bCs/>
          <w:szCs w:val="24"/>
        </w:rPr>
        <w:t>Supplementary Figure 4: MFI values upon anti-TNF</w:t>
      </w:r>
      <w:r w:rsidRPr="00282B8E">
        <w:rPr>
          <w:rFonts w:cs="Arial"/>
          <w:b/>
          <w:bCs/>
          <w:szCs w:val="24"/>
        </w:rPr>
        <w:t>α (</w:t>
      </w:r>
      <w:proofErr w:type="spellStart"/>
      <w:r w:rsidRPr="00282B8E">
        <w:rPr>
          <w:rFonts w:cs="Arial"/>
          <w:b/>
          <w:bCs/>
          <w:szCs w:val="24"/>
        </w:rPr>
        <w:t>aTNF</w:t>
      </w:r>
      <w:proofErr w:type="spellEnd"/>
      <w:r w:rsidRPr="00282B8E">
        <w:rPr>
          <w:rFonts w:cs="Arial"/>
          <w:b/>
          <w:bCs/>
          <w:szCs w:val="24"/>
        </w:rPr>
        <w:t>α)</w:t>
      </w:r>
      <w:r w:rsidRPr="00282B8E">
        <w:rPr>
          <w:b/>
          <w:bCs/>
          <w:szCs w:val="24"/>
        </w:rPr>
        <w:t xml:space="preserve"> treatment. </w:t>
      </w:r>
      <w:r w:rsidRPr="00282B8E">
        <w:rPr>
          <w:szCs w:val="24"/>
        </w:rPr>
        <w:t>pDCs were freshly isolated from buffy coats of healthy donors and rested overnight, and either incubated overnight with anti-TNFα (</w:t>
      </w:r>
      <w:proofErr w:type="spellStart"/>
      <w:r w:rsidRPr="00282B8E">
        <w:rPr>
          <w:szCs w:val="24"/>
        </w:rPr>
        <w:t>aTNF</w:t>
      </w:r>
      <w:proofErr w:type="spellEnd"/>
      <w:r w:rsidRPr="00282B8E">
        <w:rPr>
          <w:szCs w:val="24"/>
        </w:rPr>
        <w:t xml:space="preserve">α) or left untreated in microwells containing 25.000 cells each. Next, cells were activated with 5 </w:t>
      </w:r>
      <w:proofErr w:type="spellStart"/>
      <w:r w:rsidRPr="00282B8E">
        <w:rPr>
          <w:rFonts w:cs="Arial"/>
          <w:szCs w:val="24"/>
        </w:rPr>
        <w:t>μ</w:t>
      </w:r>
      <w:r w:rsidRPr="00282B8E">
        <w:rPr>
          <w:szCs w:val="24"/>
        </w:rPr>
        <w:t>g</w:t>
      </w:r>
      <w:proofErr w:type="spellEnd"/>
      <w:r w:rsidRPr="00282B8E">
        <w:rPr>
          <w:szCs w:val="24"/>
        </w:rPr>
        <w:t>/mL R848. For the first 4 hours, for every hour cells were fixed, permeabilized and stained for intracellular TNFα and IFN</w:t>
      </w:r>
      <w:r w:rsidRPr="00282B8E">
        <w:rPr>
          <w:rFonts w:cs="Arial"/>
          <w:szCs w:val="24"/>
        </w:rPr>
        <w:t>α</w:t>
      </w:r>
      <w:r w:rsidRPr="00282B8E">
        <w:rPr>
          <w:szCs w:val="24"/>
        </w:rPr>
        <w:t xml:space="preserve">. </w:t>
      </w:r>
      <w:r w:rsidRPr="00282B8E">
        <w:rPr>
          <w:b/>
          <w:bCs/>
          <w:szCs w:val="24"/>
        </w:rPr>
        <w:t>(A)</w:t>
      </w:r>
      <w:r w:rsidRPr="00282B8E">
        <w:rPr>
          <w:szCs w:val="24"/>
        </w:rPr>
        <w:t xml:space="preserve"> MFI values of TNFα production, depicted by absolute number (upper panel) and fold change (lower panel). </w:t>
      </w:r>
      <w:r w:rsidRPr="00282B8E">
        <w:rPr>
          <w:b/>
          <w:bCs/>
          <w:szCs w:val="24"/>
        </w:rPr>
        <w:t>(B)</w:t>
      </w:r>
      <w:r w:rsidRPr="00282B8E">
        <w:rPr>
          <w:szCs w:val="24"/>
        </w:rPr>
        <w:t xml:space="preserve"> MFI values of IFNα production, depicted by absolute number (upper panel) and fold change (lower panel).</w:t>
      </w:r>
    </w:p>
    <w:p w14:paraId="6C6FB3E8" w14:textId="77777777" w:rsidR="007859AE" w:rsidRDefault="007859AE">
      <w:pPr>
        <w:spacing w:before="0" w:after="200" w:line="276" w:lineRule="auto"/>
        <w:rPr>
          <w:szCs w:val="24"/>
        </w:rPr>
      </w:pPr>
      <w:r>
        <w:rPr>
          <w:szCs w:val="24"/>
        </w:rPr>
        <w:br w:type="page"/>
      </w:r>
    </w:p>
    <w:p w14:paraId="31E4161E" w14:textId="77777777" w:rsidR="00F325EE" w:rsidRDefault="00F325EE" w:rsidP="00282B8E">
      <w:pPr>
        <w:keepNext/>
        <w:jc w:val="both"/>
        <w:rPr>
          <w:szCs w:val="24"/>
        </w:rPr>
      </w:pPr>
    </w:p>
    <w:p w14:paraId="7C35B536" w14:textId="77777777" w:rsidR="00F325EE" w:rsidRDefault="00F325EE" w:rsidP="00282B8E">
      <w:pPr>
        <w:keepNext/>
        <w:jc w:val="both"/>
        <w:rPr>
          <w:szCs w:val="24"/>
        </w:rPr>
      </w:pPr>
    </w:p>
    <w:p w14:paraId="5365D116" w14:textId="16314BCD" w:rsidR="00282B8E" w:rsidRDefault="00F325EE" w:rsidP="00282B8E">
      <w:pPr>
        <w:keepNext/>
        <w:jc w:val="both"/>
        <w:rPr>
          <w:szCs w:val="24"/>
        </w:rPr>
      </w:pPr>
      <w:r w:rsidRPr="00F325EE">
        <w:rPr>
          <w:noProof/>
          <w:szCs w:val="24"/>
        </w:rPr>
        <w:drawing>
          <wp:inline distT="0" distB="0" distL="0" distR="0" wp14:anchorId="637B9E85" wp14:editId="5DCAC246">
            <wp:extent cx="6208395" cy="1984375"/>
            <wp:effectExtent l="0" t="0" r="0" b="0"/>
            <wp:docPr id="1433578183" name="Picture 1" descr="A group of windows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78183" name="Picture 1" descr="A group of windows in a dark room&#10;&#10;Description automatically generated"/>
                    <pic:cNvPicPr/>
                  </pic:nvPicPr>
                  <pic:blipFill>
                    <a:blip r:embed="rId16"/>
                    <a:stretch>
                      <a:fillRect/>
                    </a:stretch>
                  </pic:blipFill>
                  <pic:spPr>
                    <a:xfrm>
                      <a:off x="0" y="0"/>
                      <a:ext cx="6208395" cy="1984375"/>
                    </a:xfrm>
                    <a:prstGeom prst="rect">
                      <a:avLst/>
                    </a:prstGeom>
                  </pic:spPr>
                </pic:pic>
              </a:graphicData>
            </a:graphic>
          </wp:inline>
        </w:drawing>
      </w:r>
    </w:p>
    <w:p w14:paraId="011E053F" w14:textId="725B2391" w:rsidR="00F325EE" w:rsidRPr="00282B8E" w:rsidRDefault="00F325EE" w:rsidP="00282B8E">
      <w:pPr>
        <w:keepNext/>
        <w:jc w:val="both"/>
        <w:rPr>
          <w:szCs w:val="24"/>
        </w:rPr>
      </w:pPr>
      <w:r w:rsidRPr="00282B8E">
        <w:rPr>
          <w:b/>
          <w:bCs/>
          <w:szCs w:val="24"/>
        </w:rPr>
        <w:t xml:space="preserve">Supplementary Figure </w:t>
      </w:r>
      <w:r>
        <w:rPr>
          <w:b/>
          <w:bCs/>
          <w:szCs w:val="24"/>
        </w:rPr>
        <w:t>5</w:t>
      </w:r>
      <w:r w:rsidRPr="00282B8E">
        <w:rPr>
          <w:b/>
          <w:bCs/>
          <w:szCs w:val="24"/>
        </w:rPr>
        <w:t xml:space="preserve">: </w:t>
      </w:r>
      <w:r w:rsidR="00A12449" w:rsidRPr="00121237">
        <w:rPr>
          <w:b/>
          <w:bCs/>
          <w:szCs w:val="24"/>
        </w:rPr>
        <w:t xml:space="preserve">Dynamic TNFα and IFNα crosstalk and co-expression upon </w:t>
      </w:r>
      <w:r w:rsidR="00640E43" w:rsidRPr="00121237">
        <w:rPr>
          <w:b/>
          <w:bCs/>
          <w:szCs w:val="24"/>
        </w:rPr>
        <w:t>TNFα</w:t>
      </w:r>
      <w:r w:rsidR="00A12449" w:rsidRPr="00121237">
        <w:rPr>
          <w:b/>
          <w:bCs/>
          <w:szCs w:val="24"/>
        </w:rPr>
        <w:t xml:space="preserve"> blocking</w:t>
      </w:r>
      <w:r w:rsidRPr="00282B8E">
        <w:rPr>
          <w:b/>
          <w:bCs/>
          <w:szCs w:val="24"/>
        </w:rPr>
        <w:t xml:space="preserve">. </w:t>
      </w:r>
      <w:r w:rsidR="00D334CA" w:rsidRPr="00121237">
        <w:rPr>
          <w:szCs w:val="24"/>
        </w:rPr>
        <w:t xml:space="preserve">Bar graphs depicting the co-expression of IFNα and TNFα, </w:t>
      </w:r>
      <w:r w:rsidR="00440169">
        <w:rPr>
          <w:szCs w:val="24"/>
        </w:rPr>
        <w:t xml:space="preserve">as in Figure </w:t>
      </w:r>
      <w:r w:rsidR="00640E43">
        <w:rPr>
          <w:szCs w:val="24"/>
        </w:rPr>
        <w:t>4</w:t>
      </w:r>
      <w:r w:rsidR="00440169">
        <w:rPr>
          <w:szCs w:val="24"/>
        </w:rPr>
        <w:t xml:space="preserve">D, now including double negative populations. </w:t>
      </w:r>
      <w:r w:rsidR="00DE5BCE">
        <w:rPr>
          <w:szCs w:val="24"/>
        </w:rPr>
        <w:t xml:space="preserve">Depicted are the </w:t>
      </w:r>
      <w:r w:rsidR="00DE5BCE">
        <w:rPr>
          <w:rFonts w:cs="Arial"/>
          <w:szCs w:val="24"/>
        </w:rPr>
        <w:t>m</w:t>
      </w:r>
      <w:r w:rsidR="00DE5BCE" w:rsidRPr="00121237">
        <w:rPr>
          <w:rFonts w:cs="Arial"/>
          <w:szCs w:val="24"/>
        </w:rPr>
        <w:t>ean ± S</w:t>
      </w:r>
      <w:r w:rsidR="00DE5BCE">
        <w:rPr>
          <w:rFonts w:cs="Arial"/>
          <w:szCs w:val="24"/>
        </w:rPr>
        <w:t>D.</w:t>
      </w:r>
    </w:p>
    <w:p w14:paraId="1CD396A9" w14:textId="77777777" w:rsidR="00282B8E" w:rsidRDefault="00282B8E">
      <w:pPr>
        <w:spacing w:before="0" w:after="200" w:line="276" w:lineRule="auto"/>
        <w:rPr>
          <w:b/>
          <w:bCs/>
          <w:szCs w:val="24"/>
        </w:rPr>
      </w:pPr>
      <w:r>
        <w:rPr>
          <w:b/>
          <w:bCs/>
          <w:szCs w:val="24"/>
        </w:rPr>
        <w:br w:type="page"/>
      </w:r>
    </w:p>
    <w:p w14:paraId="4FD44411" w14:textId="1D4413B9" w:rsidR="00282B8E" w:rsidRDefault="00282B8E" w:rsidP="00282B8E">
      <w:pPr>
        <w:keepNext/>
        <w:jc w:val="both"/>
        <w:rPr>
          <w:b/>
          <w:bCs/>
          <w:szCs w:val="24"/>
        </w:rPr>
      </w:pPr>
      <w:r>
        <w:rPr>
          <w:b/>
          <w:bCs/>
          <w:noProof/>
        </w:rPr>
        <w:lastRenderedPageBreak/>
        <w:drawing>
          <wp:inline distT="0" distB="0" distL="0" distR="0" wp14:anchorId="57B567FD" wp14:editId="047DAA1B">
            <wp:extent cx="5805170" cy="3459193"/>
            <wp:effectExtent l="0" t="0" r="5080" b="8255"/>
            <wp:docPr id="17" name="Picture 17" descr="A graph of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different types of numbers&#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31" t="4040" r="5244" b="5964"/>
                    <a:stretch/>
                  </pic:blipFill>
                  <pic:spPr bwMode="auto">
                    <a:xfrm>
                      <a:off x="0" y="0"/>
                      <a:ext cx="5818547" cy="3467164"/>
                    </a:xfrm>
                    <a:prstGeom prst="rect">
                      <a:avLst/>
                    </a:prstGeom>
                    <a:noFill/>
                    <a:ln>
                      <a:noFill/>
                    </a:ln>
                    <a:extLst>
                      <a:ext uri="{53640926-AAD7-44D8-BBD7-CCE9431645EC}">
                        <a14:shadowObscured xmlns:a14="http://schemas.microsoft.com/office/drawing/2010/main"/>
                      </a:ext>
                    </a:extLst>
                  </pic:spPr>
                </pic:pic>
              </a:graphicData>
            </a:graphic>
          </wp:inline>
        </w:drawing>
      </w:r>
    </w:p>
    <w:p w14:paraId="58F1AED1" w14:textId="261DBAEE" w:rsidR="00F325EE" w:rsidRDefault="00282B8E" w:rsidP="00282B8E">
      <w:pPr>
        <w:keepNext/>
        <w:jc w:val="both"/>
        <w:rPr>
          <w:szCs w:val="24"/>
        </w:rPr>
      </w:pPr>
      <w:r w:rsidRPr="00282B8E">
        <w:rPr>
          <w:b/>
          <w:bCs/>
          <w:szCs w:val="24"/>
        </w:rPr>
        <w:t xml:space="preserve">Supplementary Figure </w:t>
      </w:r>
      <w:r w:rsidR="009A5C34">
        <w:rPr>
          <w:b/>
          <w:bCs/>
          <w:szCs w:val="24"/>
        </w:rPr>
        <w:t>6</w:t>
      </w:r>
      <w:r w:rsidRPr="00282B8E">
        <w:rPr>
          <w:b/>
          <w:bCs/>
          <w:szCs w:val="24"/>
        </w:rPr>
        <w:t xml:space="preserve">: MFI values upon </w:t>
      </w:r>
      <w:proofErr w:type="spellStart"/>
      <w:r w:rsidRPr="00282B8E">
        <w:rPr>
          <w:b/>
          <w:bCs/>
          <w:szCs w:val="24"/>
        </w:rPr>
        <w:t>JAKi</w:t>
      </w:r>
      <w:proofErr w:type="spellEnd"/>
      <w:r w:rsidRPr="00282B8E">
        <w:rPr>
          <w:b/>
          <w:bCs/>
          <w:szCs w:val="24"/>
        </w:rPr>
        <w:t xml:space="preserve"> treatment. </w:t>
      </w:r>
      <w:r w:rsidRPr="00282B8E">
        <w:rPr>
          <w:szCs w:val="24"/>
        </w:rPr>
        <w:t xml:space="preserve">pDCs were freshly isolated from buffy coats of healthy donors and rested overnight in microwells containing 25.000 cells each. Next, cells were activated with 5 </w:t>
      </w:r>
      <w:proofErr w:type="spellStart"/>
      <w:r w:rsidRPr="00282B8E">
        <w:rPr>
          <w:rFonts w:cs="Arial"/>
          <w:szCs w:val="24"/>
        </w:rPr>
        <w:t>μ</w:t>
      </w:r>
      <w:r w:rsidRPr="00282B8E">
        <w:rPr>
          <w:szCs w:val="24"/>
        </w:rPr>
        <w:t>g</w:t>
      </w:r>
      <w:proofErr w:type="spellEnd"/>
      <w:r w:rsidRPr="00282B8E">
        <w:rPr>
          <w:szCs w:val="24"/>
        </w:rPr>
        <w:t xml:space="preserve">/mL R848 and treated with </w:t>
      </w:r>
      <w:proofErr w:type="spellStart"/>
      <w:r w:rsidRPr="00282B8E">
        <w:rPr>
          <w:szCs w:val="24"/>
        </w:rPr>
        <w:t>JAKi</w:t>
      </w:r>
      <w:proofErr w:type="spellEnd"/>
      <w:r w:rsidRPr="00282B8E">
        <w:rPr>
          <w:szCs w:val="24"/>
        </w:rPr>
        <w:t>. For the first 4 hours, for every hour cells were fixed, permeabilized and stained for intracellular TNFα and IFN</w:t>
      </w:r>
      <w:r w:rsidRPr="00282B8E">
        <w:rPr>
          <w:rFonts w:cs="Arial"/>
          <w:szCs w:val="24"/>
        </w:rPr>
        <w:t>α</w:t>
      </w:r>
      <w:r w:rsidRPr="00282B8E">
        <w:rPr>
          <w:szCs w:val="24"/>
        </w:rPr>
        <w:t xml:space="preserve">. </w:t>
      </w:r>
      <w:r w:rsidRPr="00282B8E">
        <w:rPr>
          <w:b/>
          <w:bCs/>
          <w:szCs w:val="24"/>
        </w:rPr>
        <w:t>(A)</w:t>
      </w:r>
      <w:r w:rsidRPr="00282B8E">
        <w:rPr>
          <w:szCs w:val="24"/>
        </w:rPr>
        <w:t xml:space="preserve"> MFI values of TNFα production, depicted by absolute number (upper panel) and fold change (lower panel). </w:t>
      </w:r>
      <w:r w:rsidRPr="00282B8E">
        <w:rPr>
          <w:b/>
          <w:bCs/>
          <w:szCs w:val="24"/>
        </w:rPr>
        <w:t>(B)</w:t>
      </w:r>
      <w:r w:rsidRPr="00282B8E">
        <w:rPr>
          <w:szCs w:val="24"/>
        </w:rPr>
        <w:t xml:space="preserve"> MFI values of IFNα production, depicted by absolute number (upper panel) and fold change (lower panel).</w:t>
      </w:r>
    </w:p>
    <w:p w14:paraId="3A264F87" w14:textId="77777777" w:rsidR="00F325EE" w:rsidRDefault="00F325EE">
      <w:pPr>
        <w:spacing w:before="0" w:after="200" w:line="276" w:lineRule="auto"/>
        <w:rPr>
          <w:szCs w:val="24"/>
        </w:rPr>
      </w:pPr>
      <w:r>
        <w:rPr>
          <w:szCs w:val="24"/>
        </w:rPr>
        <w:br w:type="page"/>
      </w:r>
    </w:p>
    <w:p w14:paraId="4928D7C3" w14:textId="77777777" w:rsidR="00DE23E8" w:rsidRDefault="00DE23E8" w:rsidP="00282B8E">
      <w:pPr>
        <w:keepNext/>
        <w:jc w:val="both"/>
        <w:rPr>
          <w:rFonts w:cs="Times New Roman"/>
          <w:szCs w:val="24"/>
        </w:rPr>
      </w:pPr>
    </w:p>
    <w:p w14:paraId="68FDCA07" w14:textId="77777777" w:rsidR="009A5C34" w:rsidRDefault="009A5C34" w:rsidP="00282B8E">
      <w:pPr>
        <w:keepNext/>
        <w:jc w:val="both"/>
        <w:rPr>
          <w:rFonts w:cs="Times New Roman"/>
          <w:szCs w:val="24"/>
        </w:rPr>
      </w:pPr>
    </w:p>
    <w:p w14:paraId="08A524BC" w14:textId="1FC6AC0C" w:rsidR="009A5C34" w:rsidRDefault="009A5C34" w:rsidP="00282B8E">
      <w:pPr>
        <w:keepNext/>
        <w:jc w:val="both"/>
        <w:rPr>
          <w:rFonts w:cs="Times New Roman"/>
          <w:szCs w:val="24"/>
        </w:rPr>
      </w:pPr>
      <w:r w:rsidRPr="009A5C34">
        <w:rPr>
          <w:rFonts w:cs="Times New Roman"/>
          <w:noProof/>
          <w:szCs w:val="24"/>
        </w:rPr>
        <w:drawing>
          <wp:inline distT="0" distB="0" distL="0" distR="0" wp14:anchorId="23C31191" wp14:editId="403F02E2">
            <wp:extent cx="6208395" cy="1894840"/>
            <wp:effectExtent l="0" t="0" r="0" b="0"/>
            <wp:docPr id="399700175" name="Picture 1" descr="A row of windows with tabl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00175" name="Picture 1" descr="A row of windows with tables in the background&#10;&#10;Description automatically generated"/>
                    <pic:cNvPicPr/>
                  </pic:nvPicPr>
                  <pic:blipFill>
                    <a:blip r:embed="rId18"/>
                    <a:stretch>
                      <a:fillRect/>
                    </a:stretch>
                  </pic:blipFill>
                  <pic:spPr>
                    <a:xfrm>
                      <a:off x="0" y="0"/>
                      <a:ext cx="6208395" cy="1894840"/>
                    </a:xfrm>
                    <a:prstGeom prst="rect">
                      <a:avLst/>
                    </a:prstGeom>
                  </pic:spPr>
                </pic:pic>
              </a:graphicData>
            </a:graphic>
          </wp:inline>
        </w:drawing>
      </w:r>
    </w:p>
    <w:p w14:paraId="6BF63322" w14:textId="70BDA74D" w:rsidR="009A5C34" w:rsidRPr="00282B8E" w:rsidRDefault="009A5C34" w:rsidP="009A5C34">
      <w:pPr>
        <w:keepNext/>
        <w:jc w:val="both"/>
        <w:rPr>
          <w:szCs w:val="24"/>
        </w:rPr>
      </w:pPr>
      <w:r w:rsidRPr="00282B8E">
        <w:rPr>
          <w:b/>
          <w:bCs/>
          <w:szCs w:val="24"/>
        </w:rPr>
        <w:t xml:space="preserve">Supplementary Figure </w:t>
      </w:r>
      <w:r>
        <w:rPr>
          <w:b/>
          <w:bCs/>
          <w:szCs w:val="24"/>
        </w:rPr>
        <w:t>7</w:t>
      </w:r>
      <w:r w:rsidRPr="00282B8E">
        <w:rPr>
          <w:b/>
          <w:bCs/>
          <w:szCs w:val="24"/>
        </w:rPr>
        <w:t xml:space="preserve">: </w:t>
      </w:r>
      <w:r w:rsidR="00640E43" w:rsidRPr="00121237">
        <w:rPr>
          <w:b/>
          <w:bCs/>
          <w:szCs w:val="24"/>
        </w:rPr>
        <w:t xml:space="preserve">Dynamic TNFα and IFNα crosstalk and co-expression upon </w:t>
      </w:r>
      <w:r w:rsidR="00640E43">
        <w:rPr>
          <w:b/>
          <w:bCs/>
          <w:szCs w:val="24"/>
        </w:rPr>
        <w:t>IFN-I</w:t>
      </w:r>
      <w:r w:rsidR="00640E43" w:rsidRPr="00121237">
        <w:rPr>
          <w:b/>
          <w:bCs/>
          <w:szCs w:val="24"/>
        </w:rPr>
        <w:t xml:space="preserve"> blocking</w:t>
      </w:r>
      <w:r w:rsidR="00640E43" w:rsidRPr="00282B8E">
        <w:rPr>
          <w:b/>
          <w:bCs/>
          <w:szCs w:val="24"/>
        </w:rPr>
        <w:t xml:space="preserve">. </w:t>
      </w:r>
      <w:r w:rsidR="00640E43" w:rsidRPr="00121237">
        <w:rPr>
          <w:szCs w:val="24"/>
        </w:rPr>
        <w:t xml:space="preserve">Bar graphs depicting the co-expression of IFNα and TNFα, </w:t>
      </w:r>
      <w:r w:rsidR="00640E43">
        <w:rPr>
          <w:szCs w:val="24"/>
        </w:rPr>
        <w:t>as in Figure 5D, now including double negative populations.</w:t>
      </w:r>
      <w:r w:rsidR="00A14A7D">
        <w:rPr>
          <w:szCs w:val="24"/>
        </w:rPr>
        <w:t xml:space="preserve"> Depicted are the </w:t>
      </w:r>
      <w:r w:rsidR="00DE5BCE">
        <w:rPr>
          <w:rFonts w:cs="Arial"/>
          <w:szCs w:val="24"/>
        </w:rPr>
        <w:t>m</w:t>
      </w:r>
      <w:r w:rsidR="00DE5BCE" w:rsidRPr="00121237">
        <w:rPr>
          <w:rFonts w:cs="Arial"/>
          <w:szCs w:val="24"/>
        </w:rPr>
        <w:t>ean ± S</w:t>
      </w:r>
      <w:r w:rsidR="00DE5BCE">
        <w:rPr>
          <w:rFonts w:cs="Arial"/>
          <w:szCs w:val="24"/>
        </w:rPr>
        <w:t>D.</w:t>
      </w:r>
    </w:p>
    <w:p w14:paraId="09540EEF" w14:textId="1C780860" w:rsidR="00103E5A" w:rsidRPr="00282B8E" w:rsidRDefault="00103E5A" w:rsidP="00A47C28">
      <w:pPr>
        <w:spacing w:before="0" w:after="200" w:line="276" w:lineRule="auto"/>
        <w:rPr>
          <w:rFonts w:cs="Times New Roman"/>
          <w:szCs w:val="24"/>
        </w:rPr>
      </w:pPr>
    </w:p>
    <w:sectPr w:rsidR="00103E5A" w:rsidRPr="00282B8E" w:rsidSect="0093429D">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AD8FC" w14:textId="77777777" w:rsidR="003D2D47" w:rsidRDefault="003D2D47" w:rsidP="00117666">
      <w:pPr>
        <w:spacing w:after="0"/>
      </w:pPr>
      <w:r>
        <w:separator/>
      </w:r>
    </w:p>
  </w:endnote>
  <w:endnote w:type="continuationSeparator" w:id="0">
    <w:p w14:paraId="68A94BCB" w14:textId="77777777" w:rsidR="003D2D47" w:rsidRDefault="003D2D4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282B8E"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282B8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282B8E"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282B8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B35AC" w14:textId="77777777" w:rsidR="003D2D47" w:rsidRDefault="003D2D47" w:rsidP="00117666">
      <w:pPr>
        <w:spacing w:after="0"/>
      </w:pPr>
      <w:r>
        <w:separator/>
      </w:r>
    </w:p>
  </w:footnote>
  <w:footnote w:type="continuationSeparator" w:id="0">
    <w:p w14:paraId="6A0AA9D1" w14:textId="77777777" w:rsidR="003D2D47" w:rsidRDefault="003D2D4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282B8E"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282B8E"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030C"/>
    <w:rsid w:val="00077D53"/>
    <w:rsid w:val="00103E5A"/>
    <w:rsid w:val="00105FD9"/>
    <w:rsid w:val="00117666"/>
    <w:rsid w:val="001549D3"/>
    <w:rsid w:val="00160065"/>
    <w:rsid w:val="00177D84"/>
    <w:rsid w:val="001D0307"/>
    <w:rsid w:val="00267D18"/>
    <w:rsid w:val="00282B8E"/>
    <w:rsid w:val="002868E2"/>
    <w:rsid w:val="002869C3"/>
    <w:rsid w:val="002936E4"/>
    <w:rsid w:val="002B4A57"/>
    <w:rsid w:val="002C74CA"/>
    <w:rsid w:val="003544FB"/>
    <w:rsid w:val="003D2D47"/>
    <w:rsid w:val="003D2F2D"/>
    <w:rsid w:val="00401590"/>
    <w:rsid w:val="00440169"/>
    <w:rsid w:val="0044758C"/>
    <w:rsid w:val="00447801"/>
    <w:rsid w:val="00452E9C"/>
    <w:rsid w:val="00463E3E"/>
    <w:rsid w:val="004735C8"/>
    <w:rsid w:val="004961FF"/>
    <w:rsid w:val="004E0C39"/>
    <w:rsid w:val="00517A89"/>
    <w:rsid w:val="00521C2D"/>
    <w:rsid w:val="005250F2"/>
    <w:rsid w:val="005740E7"/>
    <w:rsid w:val="00593EEA"/>
    <w:rsid w:val="005A5EEE"/>
    <w:rsid w:val="006177F2"/>
    <w:rsid w:val="006375C7"/>
    <w:rsid w:val="00640E43"/>
    <w:rsid w:val="00654E8F"/>
    <w:rsid w:val="00660D05"/>
    <w:rsid w:val="006820B1"/>
    <w:rsid w:val="006B7D14"/>
    <w:rsid w:val="00701727"/>
    <w:rsid w:val="0070566C"/>
    <w:rsid w:val="00714C50"/>
    <w:rsid w:val="00725A7D"/>
    <w:rsid w:val="00740BBE"/>
    <w:rsid w:val="0074583A"/>
    <w:rsid w:val="007501BE"/>
    <w:rsid w:val="007859AE"/>
    <w:rsid w:val="00790BB3"/>
    <w:rsid w:val="007C206C"/>
    <w:rsid w:val="00803D24"/>
    <w:rsid w:val="00817DD6"/>
    <w:rsid w:val="00885156"/>
    <w:rsid w:val="009151AA"/>
    <w:rsid w:val="0093429D"/>
    <w:rsid w:val="00943573"/>
    <w:rsid w:val="00970F7D"/>
    <w:rsid w:val="00994A3D"/>
    <w:rsid w:val="009A5C34"/>
    <w:rsid w:val="009C2B12"/>
    <w:rsid w:val="009C70F3"/>
    <w:rsid w:val="00A12449"/>
    <w:rsid w:val="00A14A7D"/>
    <w:rsid w:val="00A174D9"/>
    <w:rsid w:val="00A47C28"/>
    <w:rsid w:val="00A569CD"/>
    <w:rsid w:val="00AB5EE2"/>
    <w:rsid w:val="00AB6715"/>
    <w:rsid w:val="00B1671E"/>
    <w:rsid w:val="00B25EB8"/>
    <w:rsid w:val="00B354E1"/>
    <w:rsid w:val="00B37F4D"/>
    <w:rsid w:val="00C52A7B"/>
    <w:rsid w:val="00C56BAF"/>
    <w:rsid w:val="00C679AA"/>
    <w:rsid w:val="00C75972"/>
    <w:rsid w:val="00CC0A3A"/>
    <w:rsid w:val="00CD066B"/>
    <w:rsid w:val="00CE4FEE"/>
    <w:rsid w:val="00D334CA"/>
    <w:rsid w:val="00D3532F"/>
    <w:rsid w:val="00D92492"/>
    <w:rsid w:val="00DB59C3"/>
    <w:rsid w:val="00DC259A"/>
    <w:rsid w:val="00DE23E8"/>
    <w:rsid w:val="00DE5BCE"/>
    <w:rsid w:val="00E52377"/>
    <w:rsid w:val="00E64E17"/>
    <w:rsid w:val="00E866C9"/>
    <w:rsid w:val="00EA3D3C"/>
    <w:rsid w:val="00F325EE"/>
    <w:rsid w:val="00F46900"/>
    <w:rsid w:val="00F61D89"/>
    <w:rsid w:val="00FF0F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0</TotalTime>
  <Pages>7</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Laura Van Eyndhoven</cp:lastModifiedBy>
  <cp:revision>2</cp:revision>
  <cp:lastPrinted>2013-10-03T12:51:00Z</cp:lastPrinted>
  <dcterms:created xsi:type="dcterms:W3CDTF">2024-03-04T21:34:00Z</dcterms:created>
  <dcterms:modified xsi:type="dcterms:W3CDTF">2024-03-04T21:34:00Z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