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Rule="auto"/>
        <w:jc w:val="center"/>
        <w:rPr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Supplementary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Use of consumer wearables to monitor and predict pain of patients with sickle cell disease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vertAlign w:val="superscript"/>
        </w:rPr>
      </w:pPr>
      <w:r w:rsidDel="00000000" w:rsidR="00000000" w:rsidRPr="00000000">
        <w:rPr>
          <w:b w:val="1"/>
          <w:color w:val="000000"/>
          <w:rtl w:val="0"/>
        </w:rPr>
        <w:t xml:space="preserve">Caroline Vuong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color w:val="000000"/>
          <w:rtl w:val="0"/>
        </w:rPr>
        <w:t xml:space="preserve">*, Kumar Utkarsh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b w:val="1"/>
          <w:color w:val="000000"/>
          <w:rtl w:val="0"/>
        </w:rPr>
        <w:t xml:space="preserve">, Rebecca Stojancic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, Arvind Subramaniam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, Olivia Fernandez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, Tanvi Banerjee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 xml:space="preserve">, Daniel M. Abrams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b w:val="1"/>
          <w:color w:val="000000"/>
          <w:rtl w:val="0"/>
        </w:rPr>
        <w:t xml:space="preserve">, Karin Fijnvandraat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color w:val="000000"/>
          <w:rtl w:val="0"/>
        </w:rPr>
        <w:t xml:space="preserve">, Nirmish Shah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5">
      <w:pPr>
        <w:spacing w:after="0" w:before="240" w:lineRule="auto"/>
        <w:rPr/>
      </w:pPr>
      <w:r w:rsidDel="00000000" w:rsidR="00000000" w:rsidRPr="00000000">
        <w:rPr>
          <w:b w:val="1"/>
          <w:rtl w:val="0"/>
        </w:rPr>
        <w:t xml:space="preserve">* Correspondence: </w:t>
      </w:r>
      <w:r w:rsidDel="00000000" w:rsidR="00000000" w:rsidRPr="00000000">
        <w:rPr>
          <w:rtl w:val="0"/>
        </w:rPr>
        <w:t xml:space="preserve">Caroline Vuong: c.vuong@amsterdamumc.nl</w:t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ind w:left="567" w:hanging="567"/>
        <w:rPr/>
      </w:pPr>
      <w:r w:rsidDel="00000000" w:rsidR="00000000" w:rsidRPr="00000000">
        <w:rPr>
          <w:rtl w:val="0"/>
        </w:rPr>
        <w:t xml:space="preserve">Supplementary Table 1</w:t>
      </w:r>
    </w:p>
    <w:tbl>
      <w:tblPr>
        <w:tblStyle w:val="Table1"/>
        <w:tblW w:w="97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3"/>
        <w:gridCol w:w="4884"/>
        <w:tblGridChange w:id="0">
          <w:tblGrid>
            <w:gridCol w:w="4883"/>
            <w:gridCol w:w="48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Metric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Mathematical formula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Accuracy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A= 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tp+tn 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tp+tn+fp+fn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Tp = true positive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Tn = true negative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Fp = false positive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Fn = false negative</w:t>
            </w:r>
          </w:p>
        </w:tc>
      </w:tr>
      <w:tr>
        <w:trPr>
          <w:cantSplit w:val="0"/>
          <w:trHeight w:val="250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Precision: 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Recall:   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F1-score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P= 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tp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tp+fp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R= 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tp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tp +fn 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F1=2* 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P*R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P+R 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Tp = true positive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Fp = false positive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Fn = false negative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Area under the receiving operating characteristic curve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</w:rPr>
                        <m:t xml:space="preserve">tp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</w:rPr>
                        <m:t xml:space="preserve">tp+fn </m:t>
                      </m:r>
                    </m:den>
                  </m:f>
                  <m:r>
                    <w:rPr>
                      <w:rFonts w:ascii="Cambria Math" w:cs="Cambria Math" w:eastAsia="Cambria Math" w:hAnsi="Cambria Math"/>
                    </w:rPr>
                    <m:t xml:space="preserve">+</m:t>
                  </m:r>
                  <m:f>
                    <m:f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</w:rPr>
                        <m:t xml:space="preserve">tn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</w:rPr>
                        <m:t xml:space="preserve">tn+fp</m:t>
                      </m:r>
                    </m:den>
                  </m:f>
                </m:e>
              </m: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Tp = true positive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Tn = true negative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Fp = false positive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Fn = false negative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Root-mean-square error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</w:rPr>
                  </m:ctrlPr>
                </m:radPr>
                <m:e>
                  <m:sSup>
                    <m:sSup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cs="Cambria Math" w:eastAsia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cs="Cambria Math" w:eastAsia="Cambria Math" w:hAnsi="Cambria Math"/>
                            </w:rPr>
                            <m:t xml:space="preserve">1</m:t>
                          </m:r>
                        </m:num>
                        <m:den>
                          <m:r>
                            <w:rPr>
                              <w:rFonts w:ascii="Cambria Math" w:cs="Cambria Math" w:eastAsia="Cambria Math" w:hAnsi="Cambria Math"/>
                            </w:rPr>
                            <m:t xml:space="preserve">n</m:t>
                          </m:r>
                        </m:den>
                      </m:f>
                      <m:nary>
                        <m:naryPr>
                          <m:chr m:val="∑"/>
                          <m:ctrlPr>
                            <w:rPr>
                              <w:rFonts w:ascii="Cambria Math" w:cs="Cambria Math" w:eastAsia="Cambria Math" w:hAnsi="Cambria Math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cs="Cambria Math" w:eastAsia="Cambria Math" w:hAnsi="Cambria Math"/>
                            </w:rPr>
                            <m:t xml:space="preserve">i=1</m:t>
                          </m:r>
                        </m:sub>
                        <m:sup>
                          <m:r>
                            <w:rPr>
                              <w:rFonts w:ascii="Cambria Math" w:cs="Cambria Math" w:eastAsia="Cambria Math" w:hAnsi="Cambria Math"/>
                            </w:rPr>
                            <m:t xml:space="preserve">n</m:t>
                          </m:r>
                        </m:sup>
                      </m:nary>
                      <m:r>
                        <w:rPr>
                          <w:rFonts w:ascii="Cambria Math" w:cs="Cambria Math" w:eastAsia="Cambria Math" w:hAnsi="Cambria Math"/>
                        </w:rPr>
                        <m:t xml:space="preserve">(</m:t>
                      </m:r>
                      <m:sSub>
                        <m:sSubPr>
                          <m:ctrlPr>
                            <w:rPr>
                              <w:rFonts w:ascii="Cambria Math" w:cs="Cambria Math" w:eastAsia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mbria Math" w:eastAsia="Cambria Math" w:hAnsi="Cambria Math"/>
                            </w:rPr>
                            <m:t xml:space="preserve">Y</m:t>
                          </m:r>
                        </m:e>
                        <m:sub>
                          <m:r>
                            <w:rPr>
                              <w:rFonts w:ascii="Cambria Math" w:cs="Cambria Math" w:eastAsia="Cambria Math" w:hAnsi="Cambria Math"/>
                            </w:rPr>
                            <m:t xml:space="preserve">p,i</m:t>
                          </m:r>
                        </m:sub>
                      </m:sSub>
                    </m:e>
                    <m:sup/>
                  </m:sSup>
                  <m:r>
                    <w:rPr>
                      <w:rFonts w:ascii="Cambria Math" w:cs="Cambria Math" w:eastAsia="Cambria Math" w:hAnsi="Cambria Math"/>
                    </w:rPr>
                    <m:t xml:space="preserve">-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cs="Cambria Math" w:eastAsia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mbria Math" w:eastAsia="Cambria Math" w:hAnsi="Cambria Math"/>
                            </w:rPr>
                            <m:t xml:space="preserve">Y</m:t>
                          </m:r>
                        </m:e>
                        <m:sub>
                          <m:r>
                            <w:rPr>
                              <w:rFonts w:ascii="Cambria Math" w:cs="Cambria Math" w:eastAsia="Cambria Math" w:hAnsi="Cambria Math"/>
                            </w:rPr>
                            <m:t xml:space="preserve">a, i</m:t>
                          </m:r>
                        </m:sub>
                      </m:sSub>
                    </m:e>
                    <m:sup/>
                  </m:sSup>
                </m:e>
              </m:rad>
              <m:r>
                <w:rPr>
                  <w:rFonts w:ascii="Cambria Math" w:cs="Cambria Math" w:eastAsia="Cambria Math" w:hAnsi="Cambria Math"/>
                </w:rPr>
                <m:t xml:space="preserve">)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/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vertAlign w:val="subscript"/>
                <w:rtl w:val="0"/>
              </w:rPr>
              <w:t xml:space="preserve">p,i </w:t>
            </w:r>
            <w:r w:rsidDel="00000000" w:rsidR="00000000" w:rsidRPr="00000000">
              <w:rPr>
                <w:rtl w:val="0"/>
              </w:rPr>
              <w:t xml:space="preserve">is the predicted output </w:t>
              <w:br w:type="textWrapping"/>
              <w:t xml:space="preserve">Y</w:t>
            </w:r>
            <w:r w:rsidDel="00000000" w:rsidR="00000000" w:rsidRPr="00000000">
              <w:rPr>
                <w:vertAlign w:val="subscript"/>
                <w:rtl w:val="0"/>
              </w:rPr>
              <w:t xml:space="preserve">a,i </w:t>
            </w:r>
            <w:r w:rsidDel="00000000" w:rsidR="00000000" w:rsidRPr="00000000">
              <w:rPr>
                <w:rtl w:val="0"/>
              </w:rPr>
              <w:t xml:space="preserve">is the actual output. </w:t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Supplementary Table 1.</w:t>
      </w:r>
      <w:r w:rsidDel="00000000" w:rsidR="00000000" w:rsidRPr="00000000">
        <w:rPr>
          <w:color w:val="000000"/>
          <w:rtl w:val="0"/>
        </w:rPr>
        <w:t xml:space="preserve"> The formulas to calculate the metrics for the evaluation of the machine learning models.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ind w:left="567" w:hanging="567"/>
        <w:rPr/>
      </w:pPr>
      <w:bookmarkStart w:colFirst="0" w:colLast="0" w:name="_heading=h.5bb9f75f68on" w:id="0"/>
      <w:bookmarkEnd w:id="0"/>
      <w:r w:rsidDel="00000000" w:rsidR="00000000" w:rsidRPr="00000000">
        <w:rPr>
          <w:rtl w:val="0"/>
        </w:rPr>
        <w:t xml:space="preserve">Supplementary Table 2</w:t>
      </w:r>
    </w:p>
    <w:tbl>
      <w:tblPr>
        <w:tblStyle w:val="Table2"/>
        <w:tblW w:w="97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259"/>
        <w:gridCol w:w="3259"/>
        <w:tblGridChange w:id="0">
          <w:tblGrid>
            <w:gridCol w:w="3259"/>
            <w:gridCol w:w="3259"/>
            <w:gridCol w:w="3259"/>
          </w:tblGrid>
        </w:tblGridChange>
      </w:tblGrid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Precision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Null model 1: Random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0.20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Null model 2: Mode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0.27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Multinomial Regression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0.31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Gradient Boosting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0.41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Random Forest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0.63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0.63</w:t>
            </w:r>
          </w:p>
        </w:tc>
      </w:tr>
    </w:tbl>
    <w:p w:rsidR="00000000" w:rsidDel="00000000" w:rsidP="00000000" w:rsidRDefault="00000000" w:rsidRPr="00000000" w14:paraId="0000003A">
      <w:pPr>
        <w:spacing w:after="0" w:line="480" w:lineRule="auto"/>
        <w:rPr/>
      </w:pPr>
      <w:bookmarkStart w:colFirst="0" w:colLast="0" w:name="_heading=h.gjdgxs" w:id="1"/>
      <w:bookmarkEnd w:id="1"/>
      <w:r w:rsidDel="00000000" w:rsidR="00000000" w:rsidRPr="00000000">
        <w:rPr>
          <w:b w:val="1"/>
          <w:rtl w:val="0"/>
        </w:rPr>
        <w:t xml:space="preserve">Supplementary Table 2.</w:t>
      </w:r>
      <w:r w:rsidDel="00000000" w:rsidR="00000000" w:rsidRPr="00000000">
        <w:rPr>
          <w:rtl w:val="0"/>
        </w:rPr>
        <w:t xml:space="preserve"> Precisions and recalls of the machine learning models.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numPr>
          <w:ilvl w:val="0"/>
          <w:numId w:val="1"/>
        </w:numPr>
        <w:ind w:left="567" w:hanging="567"/>
        <w:rPr/>
      </w:pPr>
      <w:r w:rsidDel="00000000" w:rsidR="00000000" w:rsidRPr="00000000">
        <w:rPr>
          <w:rtl w:val="0"/>
        </w:rPr>
        <w:t xml:space="preserve">Supplementary Data 3.</w:t>
      </w:r>
    </w:p>
    <w:p w:rsidR="00000000" w:rsidDel="00000000" w:rsidP="00000000" w:rsidRDefault="00000000" w:rsidRPr="00000000" w14:paraId="0000003D">
      <w:pPr>
        <w:rPr/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  <w:t xml:space="preserve">The code can be requested from Northwestern University’s online repository from the following link:</w:t>
      </w:r>
    </w:p>
    <w:p w:rsidR="00000000" w:rsidDel="00000000" w:rsidP="00000000" w:rsidRDefault="00000000" w:rsidRPr="00000000" w14:paraId="0000003E">
      <w:pPr>
        <w:rPr/>
      </w:pPr>
      <w:bookmarkStart w:colFirst="0" w:colLast="0" w:name="_heading=h.t9c5e2efbeg0" w:id="3"/>
      <w:bookmarkEnd w:id="3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https://doi.org/10.21985/n2-js7v-q051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480" w:lineRule="auto"/>
        <w:rPr/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footerReference r:id="rId10" w:type="default"/>
      <w:pgSz w:h="15840" w:w="12240" w:orient="portrait"/>
      <w:pgMar w:bottom="1138" w:top="1138" w:left="1282" w:right="118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12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>
        <w:b w:val="1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b w:val="1"/>
        <w:color w:val="a6a6a6"/>
      </w:rPr>
      <w:drawing>
        <wp:inline distB="0" distT="0" distL="0" distR="0">
          <wp:extent cx="1534909" cy="551877"/>
          <wp:effectExtent b="0" l="0" r="0" t="0"/>
          <wp:docPr descr="C:\Users\Elaine.Scott\Documents\LaTex\____TEST____Frontiers_LaTeX_Templates_V2.5\Frontiers LaTeX (Science, Health and Engineering) V2.5 - with Supplementary material (V1.2)\logo1.jpg" id="60" name="image1.jpg"/>
          <a:graphic>
            <a:graphicData uri="http://schemas.openxmlformats.org/drawingml/2006/picture">
              <pic:pic>
                <pic:nvPicPr>
                  <pic:cNvPr descr="C:\Users\Elaine.Scott\Documents\LaTex\____TEST____Frontiers_LaTeX_Templates_V2.5\Frontiers LaTeX (Science, Health and Engineering) V2.5 - with Supplementary material (V1.2)\logo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  <w:t xml:space="preserve">Supplementary Material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567" w:hanging="567"/>
      </w:pPr>
      <w:rPr/>
    </w:lvl>
    <w:lvl w:ilvl="1">
      <w:start w:val="1"/>
      <w:numFmt w:val="decimal"/>
      <w:lvlText w:val="%1.%2"/>
      <w:lvlJc w:val="left"/>
      <w:pPr>
        <w:ind w:left="567" w:hanging="567"/>
      </w:pPr>
      <w:rPr/>
    </w:lvl>
    <w:lvl w:ilvl="2">
      <w:start w:val="1"/>
      <w:numFmt w:val="decimal"/>
      <w:lvlText w:val="%1.%2.%3"/>
      <w:lvlJc w:val="left"/>
      <w:pPr>
        <w:ind w:left="567" w:hanging="567"/>
      </w:pPr>
      <w:rPr/>
    </w:lvl>
    <w:lvl w:ilvl="3">
      <w:start w:val="1"/>
      <w:numFmt w:val="decimal"/>
      <w:lvlText w:val="%1.%2.%3.%4"/>
      <w:lvlJc w:val="left"/>
      <w:pPr>
        <w:ind w:left="567" w:hanging="567"/>
      </w:pPr>
      <w:rPr/>
    </w:lvl>
    <w:lvl w:ilvl="4">
      <w:start w:val="1"/>
      <w:numFmt w:val="decimal"/>
      <w:lvlText w:val="%1.%2.%3.%4.%5"/>
      <w:lvlJc w:val="left"/>
      <w:pPr>
        <w:ind w:left="567" w:hanging="567"/>
      </w:pPr>
      <w:rPr/>
    </w:lvl>
    <w:lvl w:ilvl="5">
      <w:start w:val="1"/>
      <w:numFmt w:val="lowerRoman"/>
      <w:lvlText w:val="%6."/>
      <w:lvlJc w:val="right"/>
      <w:pPr>
        <w:ind w:left="567" w:hanging="567"/>
      </w:pPr>
      <w:rPr/>
    </w:lvl>
    <w:lvl w:ilvl="6">
      <w:start w:val="1"/>
      <w:numFmt w:val="decimal"/>
      <w:lvlText w:val="%7."/>
      <w:lvlJc w:val="left"/>
      <w:pPr>
        <w:ind w:left="567" w:hanging="567"/>
      </w:pPr>
      <w:rPr/>
    </w:lvl>
    <w:lvl w:ilvl="7">
      <w:start w:val="1"/>
      <w:numFmt w:val="lowerLetter"/>
      <w:lvlText w:val="%8."/>
      <w:lvlJc w:val="left"/>
      <w:pPr>
        <w:ind w:left="567" w:hanging="567"/>
      </w:pPr>
      <w:rPr/>
    </w:lvl>
    <w:lvl w:ilvl="8">
      <w:start w:val="1"/>
      <w:numFmt w:val="lowerRoman"/>
      <w:lvlText w:val="%9."/>
      <w:lvlJc w:val="right"/>
      <w:pPr>
        <w:ind w:left="567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4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720" w:hanging="720"/>
    </w:pPr>
    <w:rPr>
      <w:b w:val="1"/>
    </w:rPr>
  </w:style>
  <w:style w:type="paragraph" w:styleId="Heading2">
    <w:name w:val="heading 2"/>
    <w:basedOn w:val="Normal"/>
    <w:next w:val="Normal"/>
    <w:pPr>
      <w:spacing w:after="200" w:before="240" w:lineRule="auto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Rule="auto"/>
      <w:ind w:left="216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40" w:lineRule="auto"/>
      <w:ind w:left="2160" w:hanging="72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  <w:ind w:left="2160" w:hanging="72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AB6715"/>
  </w:style>
  <w:style w:type="paragraph" w:styleId="Heading1">
    <w:name w:val="heading 1"/>
    <w:basedOn w:val="ListParagraph"/>
    <w:next w:val="Normal"/>
    <w:link w:val="Heading1Char"/>
    <w:uiPriority w:val="2"/>
    <w:qFormat w:val="1"/>
    <w:rsid w:val="00AB6715"/>
    <w:pPr>
      <w:numPr>
        <w:numId w:val="2"/>
      </w:numPr>
      <w:spacing w:before="240"/>
      <w:contextualSpacing w:val="0"/>
      <w:outlineLvl w:val="0"/>
    </w:pPr>
    <w:rPr>
      <w:b w:val="1"/>
    </w:rPr>
  </w:style>
  <w:style w:type="paragraph" w:styleId="Heading2">
    <w:name w:val="heading 2"/>
    <w:basedOn w:val="Heading1"/>
    <w:next w:val="Normal"/>
    <w:link w:val="Heading2Char"/>
    <w:uiPriority w:val="2"/>
    <w:qFormat w:val="1"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 w:val="1"/>
    <w:rsid w:val="00AB6715"/>
    <w:pPr>
      <w:keepNext w:val="1"/>
      <w:keepLines w:val="1"/>
      <w:numPr>
        <w:ilvl w:val="2"/>
        <w:numId w:val="2"/>
      </w:numPr>
      <w:spacing w:after="120" w:before="40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Heading3"/>
    <w:next w:val="Normal"/>
    <w:link w:val="Heading4Char"/>
    <w:uiPriority w:val="2"/>
    <w:qFormat w:val="1"/>
    <w:rsid w:val="00AB6715"/>
    <w:pPr>
      <w:numPr>
        <w:ilvl w:val="3"/>
      </w:numPr>
      <w:outlineLvl w:val="3"/>
    </w:pPr>
    <w:rPr>
      <w:iCs w:val="1"/>
    </w:rPr>
  </w:style>
  <w:style w:type="paragraph" w:styleId="Heading5">
    <w:name w:val="heading 5"/>
    <w:basedOn w:val="Heading4"/>
    <w:next w:val="Normal"/>
    <w:link w:val="Heading5Char"/>
    <w:uiPriority w:val="2"/>
    <w:qFormat w:val="1"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qFormat w:val="1"/>
    <w:rsid w:val="00AB6715"/>
    <w:pPr>
      <w:suppressLineNumbers w:val="1"/>
      <w:spacing w:after="360" w:before="240"/>
      <w:jc w:val="center"/>
    </w:pPr>
    <w:rPr>
      <w:b w:val="1"/>
      <w:sz w:val="32"/>
      <w:szCs w:val="32"/>
    </w:rPr>
  </w:style>
  <w:style w:type="character" w:styleId="Heading1Char" w:customStyle="1">
    <w:name w:val="Heading 1 Char"/>
    <w:basedOn w:val="DefaultParagraphFont"/>
    <w:link w:val="Heading1"/>
    <w:uiPriority w:val="2"/>
    <w:rsid w:val="00AB6715"/>
    <w:rPr>
      <w:rFonts w:ascii="Times New Roman" w:cs="Times New Roman" w:eastAsia="Cambria" w:hAnsi="Times New Roman"/>
      <w:b w:val="1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2"/>
    <w:rsid w:val="00AB6715"/>
    <w:rPr>
      <w:rFonts w:ascii="Times New Roman" w:cs="Times New Roman" w:eastAsia="Cambria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link w:val="SubtitleChar"/>
    <w:pPr>
      <w:spacing w:before="240"/>
    </w:pPr>
    <w:rPr>
      <w:b w:val="1"/>
    </w:rPr>
  </w:style>
  <w:style w:type="character" w:styleId="SubtitleChar" w:customStyle="1">
    <w:name w:val="Subtitle Char"/>
    <w:basedOn w:val="DefaultParagraphFont"/>
    <w:link w:val="Subtitle"/>
    <w:uiPriority w:val="99"/>
    <w:rsid w:val="00AB6715"/>
    <w:rPr>
      <w:rFonts w:ascii="Times New Roman" w:cs="Times New Roman" w:hAnsi="Times New Roman"/>
      <w:b w:val="1"/>
      <w:sz w:val="24"/>
      <w:szCs w:val="24"/>
    </w:rPr>
  </w:style>
  <w:style w:type="paragraph" w:styleId="AuthorList" w:customStyle="1">
    <w:name w:val="Author List"/>
    <w:aliases w:val="Keywords,Abstract"/>
    <w:basedOn w:val="Subtitle"/>
    <w:next w:val="Normal"/>
    <w:uiPriority w:val="1"/>
    <w:qFormat w:val="1"/>
    <w:rsid w:val="00AB671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B6715"/>
    <w:pPr>
      <w:spacing w:after="0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B6715"/>
    <w:rPr>
      <w:rFonts w:ascii="Tahoma" w:cs="Tahoma" w:hAnsi="Tahoma"/>
      <w:sz w:val="16"/>
      <w:szCs w:val="16"/>
    </w:rPr>
  </w:style>
  <w:style w:type="character" w:styleId="BookTitle">
    <w:name w:val="Book Title"/>
    <w:basedOn w:val="DefaultParagraphFont"/>
    <w:uiPriority w:val="33"/>
    <w:qFormat w:val="1"/>
    <w:rsid w:val="00AB6715"/>
    <w:rPr>
      <w:rFonts w:ascii="Times New Roman" w:hAnsi="Times New Roman"/>
      <w:b w:val="1"/>
      <w:bCs w:val="1"/>
      <w:i w:val="1"/>
      <w:iCs w:val="1"/>
      <w:spacing w:val="5"/>
    </w:rPr>
  </w:style>
  <w:style w:type="paragraph" w:styleId="Caption">
    <w:name w:val="caption"/>
    <w:basedOn w:val="Normal"/>
    <w:next w:val="NoSpacing"/>
    <w:uiPriority w:val="35"/>
    <w:unhideWhenUsed w:val="1"/>
    <w:qFormat w:val="1"/>
    <w:rsid w:val="00AB6715"/>
    <w:pPr>
      <w:keepNext w:val="1"/>
    </w:pPr>
    <w:rPr>
      <w:b w:val="1"/>
      <w:bCs w:val="1"/>
    </w:rPr>
  </w:style>
  <w:style w:type="paragraph" w:styleId="NoSpacing">
    <w:name w:val="No Spacing"/>
    <w:uiPriority w:val="99"/>
    <w:unhideWhenUsed w:val="1"/>
    <w:qFormat w:val="1"/>
    <w:rsid w:val="00AB6715"/>
    <w:pPr>
      <w:spacing w:after="0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B671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B671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B6715"/>
    <w:rPr>
      <w:rFonts w:ascii="Times New Roman" w:hAnsi="Times New Roman"/>
      <w:b w:val="1"/>
      <w:bCs w:val="1"/>
      <w:sz w:val="20"/>
      <w:szCs w:val="20"/>
    </w:rPr>
  </w:style>
  <w:style w:type="character" w:styleId="Emphasis">
    <w:name w:val="Emphasis"/>
    <w:basedOn w:val="DefaultParagraphFont"/>
    <w:uiPriority w:val="20"/>
    <w:qFormat w:val="1"/>
    <w:rsid w:val="00AB6715"/>
    <w:rPr>
      <w:rFonts w:ascii="Times New Roman" w:hAnsi="Times New Roman"/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AB6715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 w:val="1"/>
    <w:rsid w:val="00AB6715"/>
    <w:pPr>
      <w:tabs>
        <w:tab w:val="center" w:pos="4844"/>
        <w:tab w:val="right" w:pos="9689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B6715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AB6715"/>
    <w:pPr>
      <w:tabs>
        <w:tab w:val="center" w:pos="4844"/>
        <w:tab w:val="right" w:pos="9689"/>
      </w:tabs>
    </w:pPr>
    <w:rPr>
      <w:b w:val="1"/>
    </w:rPr>
  </w:style>
  <w:style w:type="character" w:styleId="HeaderChar" w:customStyle="1">
    <w:name w:val="Header Char"/>
    <w:basedOn w:val="DefaultParagraphFont"/>
    <w:link w:val="Header"/>
    <w:uiPriority w:val="99"/>
    <w:rsid w:val="00AB6715"/>
    <w:rPr>
      <w:rFonts w:ascii="Times New Roman" w:hAnsi="Times New Roman"/>
      <w:b w:val="1"/>
      <w:sz w:val="24"/>
    </w:rPr>
  </w:style>
  <w:style w:type="paragraph" w:styleId="ListParagraph">
    <w:name w:val="List Paragraph"/>
    <w:basedOn w:val="Normal"/>
    <w:uiPriority w:val="3"/>
    <w:qFormat w:val="1"/>
    <w:rsid w:val="00AB6715"/>
    <w:pPr>
      <w:tabs>
        <w:tab w:val="num" w:pos="720"/>
      </w:tabs>
      <w:ind w:left="720" w:hanging="720"/>
      <w:contextualSpacing w:val="1"/>
    </w:pPr>
    <w:rPr>
      <w:rFonts w:eastAsia="Cambria"/>
    </w:rPr>
  </w:style>
  <w:style w:type="numbering" w:styleId="Headings" w:customStyle="1">
    <w:name w:val="Headings"/>
    <w:uiPriority w:val="99"/>
    <w:rsid w:val="00AB6715"/>
  </w:style>
  <w:style w:type="character" w:styleId="Hyperlink">
    <w:name w:val="Hyperlink"/>
    <w:basedOn w:val="DefaultParagraphFont"/>
    <w:uiPriority w:val="99"/>
    <w:unhideWhenUsed w:val="1"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 w:val="1"/>
    <w:rsid w:val="00AB6715"/>
    <w:rPr>
      <w:rFonts w:ascii="Times New Roman" w:hAnsi="Times New Roman"/>
      <w:i w:val="1"/>
      <w:iCs w:val="1"/>
      <w:color w:val="auto"/>
    </w:rPr>
  </w:style>
  <w:style w:type="character" w:styleId="IntenseReference">
    <w:name w:val="Intense Reference"/>
    <w:basedOn w:val="DefaultParagraphFont"/>
    <w:uiPriority w:val="32"/>
    <w:qFormat w:val="1"/>
    <w:rsid w:val="00AB6715"/>
    <w:rPr>
      <w:b w:val="1"/>
      <w:bCs w:val="1"/>
      <w:smallCaps w:val="1"/>
      <w:color w:val="auto"/>
      <w:spacing w:val="5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AB6715"/>
  </w:style>
  <w:style w:type="character" w:styleId="Heading3Char" w:customStyle="1">
    <w:name w:val="Heading 3 Char"/>
    <w:basedOn w:val="DefaultParagraphFont"/>
    <w:link w:val="Heading3"/>
    <w:uiPriority w:val="2"/>
    <w:rsid w:val="00AB6715"/>
    <w:rPr>
      <w:rFonts w:ascii="Times New Roman" w:hAnsi="Times New Roman" w:cstheme="majorBidi" w:eastAsiaTheme="majorEastAsia"/>
      <w:b w:val="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2"/>
    <w:rsid w:val="00AB6715"/>
    <w:rPr>
      <w:rFonts w:ascii="Times New Roman" w:hAnsi="Times New Roman" w:cstheme="majorBidi" w:eastAsiaTheme="majorEastAsia"/>
      <w:b w:val="1"/>
      <w:iCs w:val="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2"/>
    <w:rsid w:val="00AB6715"/>
    <w:rPr>
      <w:rFonts w:ascii="Times New Roman" w:hAnsi="Times New Roman" w:cstheme="majorBidi" w:eastAsiaTheme="majorEastAsia"/>
      <w:b w:val="1"/>
      <w:iCs w:val="1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AB6715"/>
    <w:pPr>
      <w:spacing w:after="100" w:afterAutospacing="1" w:before="100" w:beforeAutospacing="1"/>
    </w:pPr>
  </w:style>
  <w:style w:type="paragraph" w:styleId="Quote">
    <w:name w:val="Quote"/>
    <w:basedOn w:val="Normal"/>
    <w:next w:val="Normal"/>
    <w:link w:val="QuoteChar"/>
    <w:uiPriority w:val="29"/>
    <w:qFormat w:val="1"/>
    <w:rsid w:val="00AB6715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B6715"/>
    <w:rPr>
      <w:rFonts w:ascii="Times New Roman" w:hAnsi="Times New Roman"/>
      <w:i w:val="1"/>
      <w:iCs w:val="1"/>
      <w:color w:val="404040" w:themeColor="text1" w:themeTint="0000BF"/>
      <w:sz w:val="24"/>
    </w:rPr>
  </w:style>
  <w:style w:type="character" w:styleId="Strong">
    <w:name w:val="Strong"/>
    <w:basedOn w:val="DefaultParagraphFont"/>
    <w:uiPriority w:val="22"/>
    <w:qFormat w:val="1"/>
    <w:rsid w:val="00AB6715"/>
    <w:rPr>
      <w:rFonts w:ascii="Times New Roman" w:hAnsi="Times New Roman"/>
      <w:b w:val="1"/>
      <w:bCs w:val="1"/>
    </w:rPr>
  </w:style>
  <w:style w:type="character" w:styleId="SubtleEmphasis">
    <w:name w:val="Subtle Emphasis"/>
    <w:basedOn w:val="DefaultParagraphFont"/>
    <w:uiPriority w:val="19"/>
    <w:qFormat w:val="1"/>
    <w:rsid w:val="00AB6715"/>
    <w:rPr>
      <w:rFonts w:ascii="Times New Roman" w:hAnsi="Times New Roman"/>
      <w:i w:val="1"/>
      <w:iCs w:val="1"/>
      <w:color w:val="404040" w:themeColor="text1" w:themeTint="0000BF"/>
    </w:rPr>
  </w:style>
  <w:style w:type="table" w:styleId="TableGrid">
    <w:name w:val="Table Grid"/>
    <w:basedOn w:val="TableNormal"/>
    <w:uiPriority w:val="59"/>
    <w:rsid w:val="00AB6715"/>
    <w:pPr>
      <w:spacing w:after="0"/>
    </w:pPr>
    <w:rPr>
      <w:rFonts w:asciiTheme="majorHAnsi" w:hAnsiTheme="maj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leChar" w:customStyle="1">
    <w:name w:val="Title Char"/>
    <w:basedOn w:val="DefaultParagraphFont"/>
    <w:link w:val="Title"/>
    <w:rsid w:val="00AB6715"/>
    <w:rPr>
      <w:rFonts w:ascii="Times New Roman" w:cs="Times New Roman" w:hAnsi="Times New Roman"/>
      <w:b w:val="1"/>
      <w:sz w:val="32"/>
      <w:szCs w:val="32"/>
    </w:rPr>
  </w:style>
  <w:style w:type="paragraph" w:styleId="SupplementaryMaterial" w:customStyle="1">
    <w:name w:val="Supplementary Material"/>
    <w:basedOn w:val="Title"/>
    <w:next w:val="Title"/>
    <w:qFormat w:val="1"/>
    <w:rsid w:val="0001436A"/>
    <w:pPr>
      <w:spacing w:after="120"/>
    </w:pPr>
    <w:rPr>
      <w:i w:val="1"/>
    </w:rPr>
  </w:style>
  <w:style w:type="paragraph" w:styleId="Revision">
    <w:name w:val="Revision"/>
    <w:hidden w:val="1"/>
    <w:uiPriority w:val="99"/>
    <w:semiHidden w:val="1"/>
    <w:rsid w:val="00803D24"/>
    <w:pPr>
      <w:spacing w:after="0"/>
    </w:pPr>
  </w:style>
  <w:style w:type="character" w:styleId="PlaceholderText">
    <w:name w:val="Placeholder Text"/>
    <w:basedOn w:val="DefaultParagraphFont"/>
    <w:uiPriority w:val="99"/>
    <w:semiHidden w:val="1"/>
    <w:rsid w:val="00307060"/>
    <w:rPr>
      <w:color w:val="808080"/>
    </w:rPr>
  </w:style>
  <w:style w:type="table" w:styleId="a" w:customStyle="1">
    <w:basedOn w:val="TableNormal"/>
    <w:pPr>
      <w:spacing w:after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0" w:customStyle="1">
    <w:basedOn w:val="TableNormal"/>
    <w:pPr>
      <w:spacing w:after="0"/>
    </w:pPr>
    <w:rPr>
      <w:rFonts w:ascii="Cambria" w:cs="Cambria" w:eastAsia="Cambria" w:hAnsi="Cambria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before="240" w:lineRule="auto"/>
    </w:pPr>
    <w:rPr>
      <w:b w:val="1"/>
    </w:rPr>
  </w:style>
  <w:style w:type="table" w:styleId="Table1">
    <w:basedOn w:val="TableNormal"/>
    <w:pPr>
      <w:spacing w:after="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21985/n2-js7v-q051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44w3KeVovWfebnY60topvqhGg==">CgMxLjAyDmguNWJiOWY3NWY2OG9uMghoLmdqZGd4czIJaC4zMGowemxsMg5oLnQ5YzVlMmVmYmVnMDgAcg0xMzI0NzAwNTI2NjIw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2023-08-29T14:02:00Z</dcterms:created>
  <dc:creator>Frontiers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1011900.0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