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9026311" w14:textId="77777777" w:rsidR="00EA3D3C" w:rsidRPr="00994A3D" w:rsidRDefault="00654E8F" w:rsidP="0001436A">
      <w:pPr>
        <w:pStyle w:val="Heading1"/>
      </w:pPr>
      <w:r w:rsidRPr="00994A3D">
        <w:t>Supplementary Data</w:t>
      </w:r>
    </w:p>
    <w:p w14:paraId="08451C38" w14:textId="59386005" w:rsidR="00994A3D" w:rsidRPr="00994A3D" w:rsidRDefault="00771FF5" w:rsidP="00994A3D">
      <w:pPr>
        <w:spacing w:before="100" w:beforeAutospacing="1" w:after="100" w:afterAutospacing="1"/>
        <w:jc w:val="both"/>
        <w:rPr>
          <w:rFonts w:eastAsia="Times New Roman" w:cs="Times New Roman"/>
          <w:szCs w:val="24"/>
          <w:lang w:val="en-GB" w:eastAsia="en-GB"/>
        </w:rPr>
      </w:pPr>
      <w:r w:rsidRPr="00771FF5">
        <w:rPr>
          <w:rFonts w:eastAsia="Times New Roman" w:cs="Times New Roman"/>
          <w:szCs w:val="24"/>
          <w:lang w:val="en-GB" w:eastAsia="en-GB"/>
        </w:rPr>
        <w:t>Questionnaire of diabetes history and treatments (Translation Form)</w:t>
      </w:r>
    </w:p>
    <w:p w14:paraId="5E584EE8" w14:textId="77777777" w:rsidR="00994A3D" w:rsidRPr="00994A3D" w:rsidRDefault="00654E8F" w:rsidP="0001436A">
      <w:pPr>
        <w:pStyle w:val="Heading1"/>
      </w:pPr>
      <w:r w:rsidRPr="00994A3D">
        <w:t>Supplementary Figures and Tables</w:t>
      </w:r>
    </w:p>
    <w:p w14:paraId="511AB291" w14:textId="77777777" w:rsidR="00771FF5" w:rsidRDefault="00771FF5" w:rsidP="00771FF5">
      <w:r w:rsidRPr="00771FF5">
        <w:rPr>
          <w:b/>
          <w:bCs/>
        </w:rPr>
        <w:t>Figure S1.</w:t>
      </w:r>
      <w:r>
        <w:t xml:space="preserve"> Participant inclusion process and Schedule of matching and study visits. (A) Participant inclusion process through the study. n, number of individuals in study as per protocol. (B) Schedule of matching and study visits. Red star means new-onset overweight/obese subjects. Green circle means matched normal-weight subjects.</w:t>
      </w:r>
    </w:p>
    <w:p w14:paraId="3B020E77" w14:textId="4D8057AA" w:rsidR="00994A3D" w:rsidRPr="002B4A57" w:rsidRDefault="00771FF5" w:rsidP="00771FF5">
      <w:pPr>
        <w:rPr>
          <w:rFonts w:cs="Times New Roman"/>
          <w:b/>
          <w:szCs w:val="24"/>
        </w:rPr>
      </w:pPr>
      <w:r w:rsidRPr="00771FF5">
        <w:rPr>
          <w:b/>
          <w:bCs/>
        </w:rPr>
        <w:t xml:space="preserve">Table S1. </w:t>
      </w:r>
      <w:r>
        <w:t>Missing covariate rates.</w:t>
      </w:r>
      <w:r w:rsidR="00994A3D" w:rsidRPr="001549D3">
        <w:rPr>
          <w:rFonts w:cs="Times New Roman"/>
          <w:szCs w:val="24"/>
        </w:rPr>
        <w:t xml:space="preserve"> </w:t>
      </w:r>
    </w:p>
    <w:p w14:paraId="58F1AED1" w14:textId="2A3EA988" w:rsidR="00771FF5" w:rsidRDefault="00771FF5" w:rsidP="00654E8F">
      <w:pPr>
        <w:spacing w:before="240"/>
      </w:pPr>
      <w:r>
        <w:br w:type="page"/>
      </w:r>
    </w:p>
    <w:p w14:paraId="4B94B71A" w14:textId="77777777" w:rsidR="00771FF5" w:rsidRDefault="00771FF5" w:rsidP="00771FF5">
      <w:pPr>
        <w:autoSpaceDE w:val="0"/>
        <w:autoSpaceDN w:val="0"/>
        <w:adjustRightInd w:val="0"/>
        <w:jc w:val="center"/>
        <w:rPr>
          <w:rFonts w:cs="Times New Roman"/>
          <w:b/>
          <w:bCs/>
          <w:sz w:val="22"/>
        </w:rPr>
      </w:pPr>
      <w:r w:rsidRPr="00B643BF">
        <w:rPr>
          <w:rFonts w:cs="Times New Roman"/>
          <w:b/>
          <w:bCs/>
          <w:sz w:val="22"/>
        </w:rPr>
        <w:lastRenderedPageBreak/>
        <w:t xml:space="preserve">Questionnaire </w:t>
      </w:r>
      <w:r>
        <w:rPr>
          <w:rFonts w:cs="Times New Roman"/>
          <w:b/>
          <w:bCs/>
          <w:sz w:val="22"/>
        </w:rPr>
        <w:t xml:space="preserve">for </w:t>
      </w:r>
      <w:r w:rsidRPr="00181089">
        <w:rPr>
          <w:rFonts w:cs="Times New Roman"/>
          <w:b/>
          <w:bCs/>
          <w:sz w:val="22"/>
        </w:rPr>
        <w:t>diabetes mel</w:t>
      </w:r>
      <w:r>
        <w:rPr>
          <w:rFonts w:cs="Times New Roman"/>
          <w:b/>
          <w:bCs/>
          <w:sz w:val="22"/>
        </w:rPr>
        <w:t>litu</w:t>
      </w:r>
      <w:r w:rsidRPr="00181089">
        <w:rPr>
          <w:rFonts w:cs="Times New Roman"/>
          <w:b/>
          <w:bCs/>
          <w:sz w:val="22"/>
        </w:rPr>
        <w:t>s</w:t>
      </w:r>
      <w:r w:rsidRPr="00B643BF">
        <w:rPr>
          <w:rFonts w:cs="Times New Roman"/>
          <w:b/>
          <w:bCs/>
          <w:sz w:val="22"/>
        </w:rPr>
        <w:t xml:space="preserve"> history and treatments (Translat</w:t>
      </w:r>
      <w:r>
        <w:rPr>
          <w:rFonts w:cs="Times New Roman"/>
          <w:b/>
          <w:bCs/>
          <w:sz w:val="22"/>
        </w:rPr>
        <w:t>ed</w:t>
      </w:r>
      <w:r w:rsidRPr="00B643BF">
        <w:rPr>
          <w:rFonts w:cs="Times New Roman"/>
          <w:b/>
          <w:bCs/>
          <w:sz w:val="22"/>
        </w:rPr>
        <w:t xml:space="preserve"> </w:t>
      </w:r>
      <w:r>
        <w:rPr>
          <w:rFonts w:cs="Times New Roman"/>
          <w:b/>
          <w:bCs/>
          <w:sz w:val="22"/>
        </w:rPr>
        <w:t>version</w:t>
      </w:r>
      <w:r w:rsidRPr="00B643BF">
        <w:rPr>
          <w:rFonts w:cs="Times New Roman"/>
          <w:b/>
          <w:bCs/>
          <w:sz w:val="22"/>
        </w:rPr>
        <w:t>)</w:t>
      </w:r>
    </w:p>
    <w:p w14:paraId="23415077" w14:textId="77777777" w:rsidR="00771FF5" w:rsidRDefault="00771FF5" w:rsidP="00771FF5">
      <w:pPr>
        <w:autoSpaceDE w:val="0"/>
        <w:autoSpaceDN w:val="0"/>
        <w:adjustRightInd w:val="0"/>
        <w:rPr>
          <w:rFonts w:cs="Times New Roman"/>
          <w:sz w:val="22"/>
        </w:rPr>
      </w:pPr>
      <w:r w:rsidRPr="002F07C7">
        <w:rPr>
          <w:rFonts w:cs="Times New Roman" w:hint="eastAsia"/>
          <w:sz w:val="22"/>
        </w:rPr>
        <w:t>Q</w:t>
      </w:r>
      <w:r w:rsidRPr="002F07C7">
        <w:rPr>
          <w:rFonts w:cs="Times New Roman"/>
          <w:sz w:val="22"/>
        </w:rPr>
        <w:t xml:space="preserve">1. </w:t>
      </w:r>
      <w:r>
        <w:rPr>
          <w:rFonts w:cs="Times New Roman"/>
          <w:sz w:val="22"/>
        </w:rPr>
        <w:t>Have you been</w:t>
      </w:r>
      <w:r w:rsidRPr="002F07C7">
        <w:rPr>
          <w:rFonts w:cs="Times New Roman"/>
          <w:sz w:val="22"/>
        </w:rPr>
        <w:t xml:space="preserve"> diagnosed </w:t>
      </w:r>
      <w:r>
        <w:rPr>
          <w:rFonts w:cs="Times New Roman"/>
          <w:sz w:val="22"/>
        </w:rPr>
        <w:t>with</w:t>
      </w:r>
      <w:r w:rsidRPr="002F07C7">
        <w:rPr>
          <w:rFonts w:cs="Times New Roman"/>
          <w:sz w:val="22"/>
        </w:rPr>
        <w:t xml:space="preserve"> diabetes mel</w:t>
      </w:r>
      <w:r>
        <w:rPr>
          <w:rFonts w:cs="Times New Roman"/>
          <w:sz w:val="22"/>
        </w:rPr>
        <w:t>litu</w:t>
      </w:r>
      <w:r w:rsidRPr="002F07C7">
        <w:rPr>
          <w:rFonts w:cs="Times New Roman"/>
          <w:sz w:val="22"/>
        </w:rPr>
        <w:t xml:space="preserve">s by a </w:t>
      </w:r>
      <w:proofErr w:type="gramStart"/>
      <w:r>
        <w:rPr>
          <w:rFonts w:cs="Times New Roman"/>
          <w:sz w:val="22"/>
        </w:rPr>
        <w:t>t</w:t>
      </w:r>
      <w:r w:rsidRPr="002F07C7">
        <w:rPr>
          <w:rFonts w:cs="Times New Roman"/>
          <w:sz w:val="22"/>
        </w:rPr>
        <w:t xml:space="preserve">hird </w:t>
      </w:r>
      <w:r>
        <w:rPr>
          <w:rFonts w:cs="Times New Roman"/>
          <w:sz w:val="22"/>
        </w:rPr>
        <w:t>c</w:t>
      </w:r>
      <w:r w:rsidRPr="002F07C7">
        <w:rPr>
          <w:rFonts w:cs="Times New Roman"/>
          <w:sz w:val="22"/>
        </w:rPr>
        <w:t>lass</w:t>
      </w:r>
      <w:proofErr w:type="gramEnd"/>
      <w:r w:rsidRPr="002F07C7">
        <w:rPr>
          <w:rFonts w:cs="Times New Roman"/>
          <w:sz w:val="22"/>
        </w:rPr>
        <w:t xml:space="preserve"> hospital before? </w:t>
      </w:r>
    </w:p>
    <w:p w14:paraId="1BB8ADEA" w14:textId="77777777" w:rsidR="00771FF5" w:rsidRPr="002F07C7" w:rsidRDefault="00771FF5" w:rsidP="00771FF5">
      <w:pPr>
        <w:autoSpaceDE w:val="0"/>
        <w:autoSpaceDN w:val="0"/>
        <w:adjustRightInd w:val="0"/>
        <w:ind w:firstLine="420"/>
        <w:rPr>
          <w:rFonts w:cs="Times New Roman"/>
          <w:sz w:val="22"/>
        </w:rPr>
      </w:pPr>
      <w:r w:rsidRPr="002F07C7">
        <w:rPr>
          <w:rFonts w:cs="Times New Roman"/>
          <w:sz w:val="22"/>
        </w:rPr>
        <w:t>(1) Yes; (2) No</w:t>
      </w:r>
    </w:p>
    <w:p w14:paraId="16F4A4D4" w14:textId="77777777" w:rsidR="00771FF5" w:rsidRDefault="00771FF5" w:rsidP="00771FF5">
      <w:pPr>
        <w:autoSpaceDE w:val="0"/>
        <w:autoSpaceDN w:val="0"/>
        <w:adjustRightInd w:val="0"/>
        <w:rPr>
          <w:rFonts w:cs="Times New Roman"/>
          <w:sz w:val="22"/>
        </w:rPr>
      </w:pPr>
      <w:r w:rsidRPr="002F07C7">
        <w:rPr>
          <w:rFonts w:cs="Times New Roman"/>
          <w:sz w:val="22"/>
        </w:rPr>
        <w:t xml:space="preserve">Q2. If </w:t>
      </w:r>
      <w:r w:rsidRPr="002F07C7">
        <w:rPr>
          <w:rFonts w:cs="Times New Roman" w:hint="eastAsia"/>
          <w:sz w:val="22"/>
        </w:rPr>
        <w:t>yes</w:t>
      </w:r>
      <w:r w:rsidRPr="002F07C7">
        <w:rPr>
          <w:rFonts w:cs="Times New Roman"/>
          <w:sz w:val="22"/>
        </w:rPr>
        <w:t xml:space="preserve"> in Q1, did you </w:t>
      </w:r>
      <w:r>
        <w:rPr>
          <w:rFonts w:cs="Times New Roman"/>
          <w:sz w:val="22"/>
        </w:rPr>
        <w:t>receive</w:t>
      </w:r>
      <w:r w:rsidRPr="002F07C7">
        <w:rPr>
          <w:rFonts w:cs="Times New Roman"/>
          <w:sz w:val="22"/>
        </w:rPr>
        <w:t xml:space="preserve"> any treatment</w:t>
      </w:r>
      <w:r w:rsidRPr="002F07C7">
        <w:rPr>
          <w:rFonts w:cs="Times New Roman" w:hint="eastAsia"/>
          <w:sz w:val="22"/>
        </w:rPr>
        <w:t>？</w:t>
      </w:r>
    </w:p>
    <w:p w14:paraId="4264230C" w14:textId="77777777" w:rsidR="00771FF5" w:rsidRPr="002F07C7" w:rsidRDefault="00771FF5" w:rsidP="00771FF5">
      <w:pPr>
        <w:autoSpaceDE w:val="0"/>
        <w:autoSpaceDN w:val="0"/>
        <w:adjustRightInd w:val="0"/>
        <w:ind w:firstLine="420"/>
        <w:rPr>
          <w:rFonts w:cs="Times New Roman"/>
          <w:sz w:val="22"/>
        </w:rPr>
      </w:pPr>
      <w:r w:rsidRPr="002F07C7">
        <w:rPr>
          <w:rFonts w:cs="Times New Roman"/>
          <w:sz w:val="22"/>
        </w:rPr>
        <w:t>(1) Yes; (2) No</w:t>
      </w:r>
    </w:p>
    <w:p w14:paraId="16A14885" w14:textId="77777777" w:rsidR="00771FF5" w:rsidRDefault="00771FF5" w:rsidP="00771FF5">
      <w:pPr>
        <w:autoSpaceDE w:val="0"/>
        <w:autoSpaceDN w:val="0"/>
        <w:adjustRightInd w:val="0"/>
        <w:rPr>
          <w:rFonts w:cs="Times New Roman"/>
          <w:sz w:val="22"/>
        </w:rPr>
      </w:pPr>
      <w:r w:rsidRPr="002F07C7">
        <w:rPr>
          <w:rFonts w:cs="Times New Roman"/>
          <w:sz w:val="22"/>
        </w:rPr>
        <w:t xml:space="preserve">Q3. If </w:t>
      </w:r>
      <w:r w:rsidRPr="002F07C7">
        <w:rPr>
          <w:rFonts w:cs="Times New Roman" w:hint="eastAsia"/>
          <w:sz w:val="22"/>
        </w:rPr>
        <w:t>yes</w:t>
      </w:r>
      <w:r w:rsidRPr="002F07C7">
        <w:rPr>
          <w:rFonts w:cs="Times New Roman"/>
          <w:sz w:val="22"/>
        </w:rPr>
        <w:t xml:space="preserve"> in Q2, wh</w:t>
      </w:r>
      <w:r>
        <w:rPr>
          <w:rFonts w:cs="Times New Roman"/>
          <w:sz w:val="22"/>
        </w:rPr>
        <w:t xml:space="preserve">ich </w:t>
      </w:r>
      <w:r w:rsidRPr="002F07C7">
        <w:rPr>
          <w:rFonts w:cs="Times New Roman"/>
          <w:sz w:val="22"/>
        </w:rPr>
        <w:t xml:space="preserve">of </w:t>
      </w:r>
      <w:r>
        <w:rPr>
          <w:rFonts w:cs="Times New Roman"/>
          <w:sz w:val="22"/>
        </w:rPr>
        <w:t xml:space="preserve">following </w:t>
      </w:r>
      <w:r w:rsidRPr="002F07C7">
        <w:rPr>
          <w:rFonts w:cs="Times New Roman" w:hint="eastAsia"/>
          <w:sz w:val="22"/>
        </w:rPr>
        <w:t>treatments</w:t>
      </w:r>
      <w:r>
        <w:rPr>
          <w:rFonts w:cs="Times New Roman"/>
          <w:sz w:val="22"/>
        </w:rPr>
        <w:t xml:space="preserve"> </w:t>
      </w:r>
      <w:proofErr w:type="gramStart"/>
      <w:r>
        <w:rPr>
          <w:rFonts w:cs="Times New Roman"/>
          <w:sz w:val="22"/>
        </w:rPr>
        <w:t>were</w:t>
      </w:r>
      <w:proofErr w:type="gramEnd"/>
      <w:r>
        <w:rPr>
          <w:rFonts w:cs="Times New Roman"/>
          <w:sz w:val="22"/>
        </w:rPr>
        <w:t xml:space="preserve"> you prescribed</w:t>
      </w:r>
      <w:r w:rsidRPr="002F07C7">
        <w:rPr>
          <w:rFonts w:cs="Times New Roman"/>
          <w:sz w:val="22"/>
        </w:rPr>
        <w:t xml:space="preserve">? </w:t>
      </w:r>
    </w:p>
    <w:p w14:paraId="4467E2E5" w14:textId="77777777" w:rsidR="00771FF5" w:rsidRPr="007D14F9" w:rsidRDefault="00771FF5" w:rsidP="00771FF5">
      <w:pPr>
        <w:autoSpaceDE w:val="0"/>
        <w:autoSpaceDN w:val="0"/>
        <w:adjustRightInd w:val="0"/>
        <w:rPr>
          <w:rFonts w:cs="Times New Roman"/>
          <w:sz w:val="22"/>
        </w:rPr>
      </w:pPr>
      <w:r w:rsidRPr="002F07C7">
        <w:rPr>
          <w:rFonts w:cs="Times New Roman"/>
          <w:sz w:val="22"/>
        </w:rPr>
        <w:t xml:space="preserve">(1) Insulin; (2) </w:t>
      </w:r>
      <w:r w:rsidRPr="002F07C7">
        <w:rPr>
          <w:rFonts w:cs="Times New Roman" w:hint="eastAsia"/>
          <w:sz w:val="22"/>
        </w:rPr>
        <w:t>Sulfonylurea</w:t>
      </w:r>
      <w:r w:rsidRPr="002F07C7">
        <w:rPr>
          <w:rFonts w:cs="Times New Roman"/>
          <w:sz w:val="22"/>
        </w:rPr>
        <w:t xml:space="preserve">; (3) </w:t>
      </w:r>
      <w:r w:rsidRPr="002F07C7">
        <w:rPr>
          <w:rFonts w:cs="Times New Roman" w:hint="eastAsia"/>
          <w:sz w:val="22"/>
        </w:rPr>
        <w:t>Biguanide;</w:t>
      </w:r>
      <w:r w:rsidRPr="002F07C7">
        <w:rPr>
          <w:rFonts w:cs="Times New Roman"/>
          <w:sz w:val="22"/>
        </w:rPr>
        <w:t xml:space="preserve"> (4) </w:t>
      </w:r>
      <w:r w:rsidRPr="002F07C7">
        <w:rPr>
          <w:rFonts w:cs="Times New Roman" w:hint="eastAsia"/>
          <w:sz w:val="22"/>
        </w:rPr>
        <w:t>Glucoside inhibitors</w:t>
      </w:r>
      <w:r w:rsidRPr="002F07C7">
        <w:rPr>
          <w:rFonts w:cs="Times New Roman"/>
          <w:sz w:val="22"/>
        </w:rPr>
        <w:t xml:space="preserve">; (5) </w:t>
      </w:r>
      <w:r w:rsidRPr="002F07C7">
        <w:rPr>
          <w:rFonts w:cs="Times New Roman" w:hint="eastAsia"/>
          <w:sz w:val="22"/>
        </w:rPr>
        <w:t>Thiazolidinediones</w:t>
      </w:r>
      <w:r w:rsidRPr="002F07C7">
        <w:rPr>
          <w:rFonts w:cs="Times New Roman"/>
          <w:sz w:val="22"/>
        </w:rPr>
        <w:t xml:space="preserve">; (6) </w:t>
      </w:r>
      <w:proofErr w:type="gramStart"/>
      <w:r w:rsidRPr="002F07C7">
        <w:rPr>
          <w:rFonts w:cs="Times New Roman" w:hint="eastAsia"/>
          <w:sz w:val="22"/>
        </w:rPr>
        <w:t>Non-insulin</w:t>
      </w:r>
      <w:proofErr w:type="gramEnd"/>
      <w:r w:rsidRPr="002F07C7">
        <w:rPr>
          <w:rFonts w:cs="Times New Roman" w:hint="eastAsia"/>
          <w:sz w:val="22"/>
        </w:rPr>
        <w:t xml:space="preserve"> pro-secretory agents;</w:t>
      </w:r>
      <w:r w:rsidRPr="002F07C7">
        <w:rPr>
          <w:rFonts w:cs="Times New Roman"/>
          <w:sz w:val="22"/>
        </w:rPr>
        <w:t xml:space="preserve"> (7) </w:t>
      </w:r>
      <w:r>
        <w:rPr>
          <w:rFonts w:cs="Times New Roman"/>
          <w:sz w:val="22"/>
        </w:rPr>
        <w:t>Traditional C</w:t>
      </w:r>
      <w:r w:rsidRPr="002F07C7">
        <w:rPr>
          <w:rFonts w:cs="Times New Roman" w:hint="eastAsia"/>
          <w:sz w:val="22"/>
        </w:rPr>
        <w:t>hinese medicine and other</w:t>
      </w:r>
      <w:r>
        <w:rPr>
          <w:rFonts w:cs="Times New Roman"/>
          <w:sz w:val="22"/>
        </w:rPr>
        <w:t>.</w:t>
      </w:r>
    </w:p>
    <w:p w14:paraId="6B1CD142" w14:textId="77777777" w:rsidR="00771FF5" w:rsidRDefault="00771FF5" w:rsidP="00654E8F">
      <w:pPr>
        <w:spacing w:before="240"/>
      </w:pPr>
    </w:p>
    <w:p w14:paraId="6E3FCE65" w14:textId="77777777" w:rsidR="00771FF5" w:rsidRDefault="00771FF5" w:rsidP="00771FF5">
      <w:pPr>
        <w:autoSpaceDE w:val="0"/>
        <w:autoSpaceDN w:val="0"/>
        <w:adjustRightInd w:val="0"/>
        <w:spacing w:before="0" w:after="0"/>
        <w:jc w:val="center"/>
        <w:rPr>
          <w:rFonts w:cs="Times New Roman"/>
          <w:b/>
          <w:bCs/>
          <w:sz w:val="22"/>
        </w:rPr>
      </w:pPr>
      <w:r>
        <w:rPr>
          <w:noProof/>
        </w:rPr>
        <w:lastRenderedPageBreak/>
        <w:drawing>
          <wp:inline distT="0" distB="0" distL="0" distR="0" wp14:anchorId="5CC61485" wp14:editId="048B5322">
            <wp:extent cx="5116176" cy="7327900"/>
            <wp:effectExtent l="0" t="0" r="8890" b="6350"/>
            <wp:docPr id="19509543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954376" name=""/>
                    <pic:cNvPicPr/>
                  </pic:nvPicPr>
                  <pic:blipFill>
                    <a:blip r:embed="rId12"/>
                    <a:stretch>
                      <a:fillRect/>
                    </a:stretch>
                  </pic:blipFill>
                  <pic:spPr>
                    <a:xfrm>
                      <a:off x="0" y="0"/>
                      <a:ext cx="5126577" cy="7342798"/>
                    </a:xfrm>
                    <a:prstGeom prst="rect">
                      <a:avLst/>
                    </a:prstGeom>
                  </pic:spPr>
                </pic:pic>
              </a:graphicData>
            </a:graphic>
          </wp:inline>
        </w:drawing>
      </w:r>
    </w:p>
    <w:p w14:paraId="54E906F7" w14:textId="7000EAE2" w:rsidR="00771FF5" w:rsidRDefault="00771FF5" w:rsidP="00771FF5">
      <w:pPr>
        <w:autoSpaceDE w:val="0"/>
        <w:autoSpaceDN w:val="0"/>
        <w:adjustRightInd w:val="0"/>
        <w:spacing w:before="0" w:after="0"/>
        <w:jc w:val="center"/>
        <w:rPr>
          <w:rFonts w:cs="Times New Roman"/>
          <w:b/>
          <w:bCs/>
          <w:sz w:val="22"/>
        </w:rPr>
      </w:pPr>
      <w:r w:rsidRPr="00771FF5">
        <w:rPr>
          <w:rFonts w:cs="Times New Roman"/>
          <w:b/>
          <w:bCs/>
          <w:sz w:val="22"/>
        </w:rPr>
        <w:t xml:space="preserve">Figure S1. Participant inclusion process and Schedule of matching and study visits. </w:t>
      </w:r>
      <w:r w:rsidRPr="00771FF5">
        <w:rPr>
          <w:rFonts w:cs="Times New Roman"/>
          <w:sz w:val="22"/>
        </w:rPr>
        <w:t>(A) Participant inclusion process through the study. n, number of individuals in study as per protocol. (B) Schedule of matching and study visits. Red star means new-onset overweight/obese subjects. Green circle means matched normal-weight subjects</w:t>
      </w:r>
      <w:r>
        <w:rPr>
          <w:rFonts w:cs="Times New Roman"/>
          <w:b/>
          <w:bCs/>
          <w:sz w:val="22"/>
        </w:rPr>
        <w:br w:type="page"/>
      </w:r>
    </w:p>
    <w:p w14:paraId="6B289089" w14:textId="2165AEA0" w:rsidR="00771FF5" w:rsidRDefault="00771FF5" w:rsidP="00771FF5">
      <w:pPr>
        <w:autoSpaceDE w:val="0"/>
        <w:autoSpaceDN w:val="0"/>
        <w:adjustRightInd w:val="0"/>
        <w:spacing w:before="0" w:after="0"/>
        <w:jc w:val="center"/>
        <w:rPr>
          <w:rFonts w:cs="Times New Roman"/>
          <w:sz w:val="22"/>
          <w:lang w:val="en-GB"/>
        </w:rPr>
      </w:pPr>
      <w:r>
        <w:rPr>
          <w:rFonts w:cs="Times New Roman" w:hint="eastAsia"/>
          <w:b/>
          <w:bCs/>
          <w:sz w:val="22"/>
        </w:rPr>
        <w:lastRenderedPageBreak/>
        <w:t>Supplementary Table 1</w:t>
      </w:r>
      <w:r>
        <w:rPr>
          <w:rFonts w:cs="Times New Roman"/>
          <w:sz w:val="22"/>
          <w:lang w:val="en-GB"/>
        </w:rPr>
        <w:t>.</w:t>
      </w:r>
      <w:r>
        <w:rPr>
          <w:rFonts w:cs="Times New Roman" w:hint="eastAsia"/>
          <w:sz w:val="22"/>
        </w:rPr>
        <w:t xml:space="preserve"> </w:t>
      </w:r>
      <w:r>
        <w:rPr>
          <w:rFonts w:eastAsia="DengXian" w:cs="Times New Roman"/>
          <w:color w:val="000000"/>
          <w:sz w:val="22"/>
        </w:rPr>
        <w:t>Missing covariate</w:t>
      </w:r>
      <w:r>
        <w:rPr>
          <w:rFonts w:eastAsia="DengXian" w:cs="Times New Roman"/>
          <w:color w:val="000000"/>
          <w:sz w:val="22"/>
          <w:lang w:val="en-GB"/>
        </w:rPr>
        <w:t xml:space="preserve"> rates</w:t>
      </w:r>
    </w:p>
    <w:tbl>
      <w:tblPr>
        <w:tblW w:w="5000" w:type="pct"/>
        <w:tblLook w:val="04A0" w:firstRow="1" w:lastRow="0" w:firstColumn="1" w:lastColumn="0" w:noHBand="0" w:noVBand="1"/>
      </w:tblPr>
      <w:tblGrid>
        <w:gridCol w:w="4621"/>
        <w:gridCol w:w="1506"/>
        <w:gridCol w:w="1742"/>
        <w:gridCol w:w="1908"/>
      </w:tblGrid>
      <w:tr w:rsidR="00771FF5" w14:paraId="5D079F6F" w14:textId="77777777" w:rsidTr="003112D3">
        <w:trPr>
          <w:trHeight w:val="285"/>
        </w:trPr>
        <w:tc>
          <w:tcPr>
            <w:tcW w:w="2363" w:type="pct"/>
            <w:tcBorders>
              <w:top w:val="single" w:sz="4" w:space="0" w:color="auto"/>
              <w:left w:val="nil"/>
              <w:bottom w:val="single" w:sz="4" w:space="0" w:color="auto"/>
              <w:right w:val="nil"/>
            </w:tcBorders>
            <w:shd w:val="clear" w:color="000000" w:fill="FFFFFF"/>
            <w:vAlign w:val="center"/>
          </w:tcPr>
          <w:p w14:paraId="0E3DCD8F" w14:textId="77777777" w:rsidR="00771FF5" w:rsidRDefault="00771FF5" w:rsidP="00771FF5">
            <w:pPr>
              <w:spacing w:before="0" w:after="0"/>
              <w:rPr>
                <w:rFonts w:eastAsia="SimSun" w:cs="Times New Roman"/>
                <w:b/>
                <w:bCs/>
                <w:color w:val="000000"/>
                <w:sz w:val="22"/>
              </w:rPr>
            </w:pPr>
            <w:r>
              <w:rPr>
                <w:rFonts w:eastAsia="SimSun" w:cs="Times New Roman"/>
                <w:b/>
                <w:bCs/>
                <w:color w:val="000000"/>
                <w:sz w:val="22"/>
              </w:rPr>
              <w:t>Variables</w:t>
            </w:r>
          </w:p>
        </w:tc>
        <w:tc>
          <w:tcPr>
            <w:tcW w:w="770" w:type="pct"/>
            <w:tcBorders>
              <w:top w:val="single" w:sz="4" w:space="0" w:color="auto"/>
              <w:left w:val="nil"/>
              <w:bottom w:val="single" w:sz="4" w:space="0" w:color="auto"/>
              <w:right w:val="nil"/>
            </w:tcBorders>
            <w:shd w:val="clear" w:color="000000" w:fill="FFFFFF"/>
            <w:vAlign w:val="center"/>
          </w:tcPr>
          <w:p w14:paraId="7403AF1A" w14:textId="77777777" w:rsidR="00771FF5" w:rsidRDefault="00771FF5" w:rsidP="00771FF5">
            <w:pPr>
              <w:spacing w:before="0" w:after="0"/>
              <w:jc w:val="center"/>
              <w:rPr>
                <w:rFonts w:eastAsia="SimSun" w:cs="Times New Roman"/>
                <w:b/>
                <w:bCs/>
                <w:color w:val="000000"/>
                <w:sz w:val="22"/>
              </w:rPr>
            </w:pPr>
            <w:r>
              <w:rPr>
                <w:rFonts w:eastAsia="SimSun" w:cs="Times New Roman"/>
                <w:b/>
                <w:bCs/>
                <w:color w:val="000000"/>
                <w:sz w:val="22"/>
              </w:rPr>
              <w:t>Total</w:t>
            </w:r>
          </w:p>
        </w:tc>
        <w:tc>
          <w:tcPr>
            <w:tcW w:w="891" w:type="pct"/>
            <w:tcBorders>
              <w:top w:val="single" w:sz="4" w:space="0" w:color="auto"/>
              <w:left w:val="nil"/>
              <w:bottom w:val="single" w:sz="4" w:space="0" w:color="auto"/>
              <w:right w:val="nil"/>
            </w:tcBorders>
            <w:shd w:val="clear" w:color="auto" w:fill="auto"/>
            <w:noWrap/>
            <w:vAlign w:val="bottom"/>
          </w:tcPr>
          <w:p w14:paraId="4C617593" w14:textId="77777777" w:rsidR="00771FF5" w:rsidRDefault="00771FF5" w:rsidP="00771FF5">
            <w:pPr>
              <w:spacing w:before="0" w:after="0"/>
              <w:jc w:val="center"/>
              <w:rPr>
                <w:rFonts w:eastAsia="SimSun" w:cs="Times New Roman"/>
                <w:b/>
                <w:bCs/>
                <w:color w:val="000000"/>
                <w:sz w:val="22"/>
              </w:rPr>
            </w:pPr>
            <w:r>
              <w:rPr>
                <w:rFonts w:eastAsia="SimSun" w:cs="Times New Roman"/>
                <w:b/>
                <w:bCs/>
                <w:color w:val="000000"/>
                <w:sz w:val="22"/>
              </w:rPr>
              <w:t>Missing</w:t>
            </w:r>
          </w:p>
        </w:tc>
        <w:tc>
          <w:tcPr>
            <w:tcW w:w="976" w:type="pct"/>
            <w:tcBorders>
              <w:top w:val="single" w:sz="4" w:space="0" w:color="auto"/>
              <w:left w:val="nil"/>
              <w:bottom w:val="single" w:sz="4" w:space="0" w:color="auto"/>
              <w:right w:val="nil"/>
            </w:tcBorders>
            <w:shd w:val="clear" w:color="auto" w:fill="auto"/>
            <w:noWrap/>
            <w:vAlign w:val="bottom"/>
          </w:tcPr>
          <w:p w14:paraId="51E86F6E" w14:textId="77777777" w:rsidR="00771FF5" w:rsidRDefault="00771FF5" w:rsidP="00771FF5">
            <w:pPr>
              <w:spacing w:before="0" w:after="0"/>
              <w:jc w:val="center"/>
              <w:rPr>
                <w:rFonts w:eastAsia="SimSun" w:cs="Times New Roman"/>
                <w:b/>
                <w:bCs/>
                <w:color w:val="000000"/>
                <w:sz w:val="22"/>
              </w:rPr>
            </w:pPr>
            <w:r>
              <w:rPr>
                <w:rFonts w:eastAsia="SimSun" w:cs="Times New Roman"/>
                <w:b/>
                <w:bCs/>
                <w:color w:val="000000"/>
                <w:sz w:val="22"/>
              </w:rPr>
              <w:t>Rate (%)</w:t>
            </w:r>
          </w:p>
        </w:tc>
      </w:tr>
      <w:tr w:rsidR="00771FF5" w14:paraId="0BD11B7D" w14:textId="77777777" w:rsidTr="003112D3">
        <w:trPr>
          <w:trHeight w:val="270"/>
        </w:trPr>
        <w:tc>
          <w:tcPr>
            <w:tcW w:w="2363" w:type="pct"/>
            <w:tcBorders>
              <w:top w:val="single" w:sz="4" w:space="0" w:color="auto"/>
              <w:left w:val="nil"/>
              <w:bottom w:val="nil"/>
              <w:right w:val="nil"/>
            </w:tcBorders>
            <w:shd w:val="clear" w:color="000000" w:fill="FFFFFF"/>
            <w:vAlign w:val="center"/>
          </w:tcPr>
          <w:p w14:paraId="087C4250" w14:textId="77777777" w:rsidR="00771FF5" w:rsidRDefault="00771FF5" w:rsidP="00771FF5">
            <w:pPr>
              <w:spacing w:before="0" w:after="0"/>
              <w:rPr>
                <w:rFonts w:eastAsia="DengXian" w:cs="Times New Roman"/>
                <w:color w:val="000000"/>
                <w:sz w:val="22"/>
              </w:rPr>
            </w:pPr>
            <w:r>
              <w:rPr>
                <w:rFonts w:eastAsia="DengXian" w:cs="Times New Roman"/>
                <w:color w:val="000000"/>
                <w:sz w:val="22"/>
              </w:rPr>
              <w:t>SBP</w:t>
            </w:r>
          </w:p>
        </w:tc>
        <w:tc>
          <w:tcPr>
            <w:tcW w:w="770" w:type="pct"/>
            <w:tcBorders>
              <w:top w:val="single" w:sz="4" w:space="0" w:color="auto"/>
              <w:left w:val="nil"/>
              <w:bottom w:val="nil"/>
              <w:right w:val="nil"/>
            </w:tcBorders>
            <w:shd w:val="clear" w:color="auto" w:fill="auto"/>
            <w:noWrap/>
            <w:vAlign w:val="bottom"/>
          </w:tcPr>
          <w:p w14:paraId="2208BA80"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21</w:t>
            </w:r>
            <w:r>
              <w:rPr>
                <w:rFonts w:eastAsia="SimSun" w:cs="Times New Roman"/>
                <w:color w:val="000000"/>
                <w:sz w:val="22"/>
                <w:lang w:val="en-GB"/>
              </w:rPr>
              <w:t>,</w:t>
            </w:r>
            <w:r>
              <w:rPr>
                <w:rFonts w:eastAsia="SimSun" w:cs="Times New Roman"/>
                <w:color w:val="000000"/>
                <w:sz w:val="22"/>
              </w:rPr>
              <w:t>716</w:t>
            </w:r>
          </w:p>
        </w:tc>
        <w:tc>
          <w:tcPr>
            <w:tcW w:w="891" w:type="pct"/>
            <w:tcBorders>
              <w:top w:val="single" w:sz="4" w:space="0" w:color="auto"/>
              <w:left w:val="nil"/>
              <w:bottom w:val="nil"/>
              <w:right w:val="nil"/>
            </w:tcBorders>
            <w:shd w:val="clear" w:color="auto" w:fill="auto"/>
            <w:noWrap/>
            <w:vAlign w:val="bottom"/>
          </w:tcPr>
          <w:p w14:paraId="43E78642"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186</w:t>
            </w:r>
          </w:p>
        </w:tc>
        <w:tc>
          <w:tcPr>
            <w:tcW w:w="976" w:type="pct"/>
            <w:tcBorders>
              <w:top w:val="single" w:sz="4" w:space="0" w:color="auto"/>
              <w:left w:val="nil"/>
              <w:bottom w:val="nil"/>
              <w:right w:val="nil"/>
            </w:tcBorders>
            <w:shd w:val="clear" w:color="auto" w:fill="auto"/>
            <w:noWrap/>
            <w:vAlign w:val="bottom"/>
          </w:tcPr>
          <w:p w14:paraId="24166FF0"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0.86</w:t>
            </w:r>
          </w:p>
        </w:tc>
      </w:tr>
      <w:tr w:rsidR="00771FF5" w14:paraId="58F0F1EA" w14:textId="77777777" w:rsidTr="003112D3">
        <w:trPr>
          <w:trHeight w:val="270"/>
        </w:trPr>
        <w:tc>
          <w:tcPr>
            <w:tcW w:w="2363" w:type="pct"/>
            <w:tcBorders>
              <w:top w:val="nil"/>
              <w:left w:val="nil"/>
              <w:bottom w:val="nil"/>
              <w:right w:val="nil"/>
            </w:tcBorders>
            <w:shd w:val="clear" w:color="000000" w:fill="FFFFFF"/>
            <w:vAlign w:val="center"/>
          </w:tcPr>
          <w:p w14:paraId="701840F5" w14:textId="77777777" w:rsidR="00771FF5" w:rsidRDefault="00771FF5" w:rsidP="00771FF5">
            <w:pPr>
              <w:spacing w:before="0" w:after="0"/>
              <w:rPr>
                <w:rFonts w:eastAsia="DengXian" w:cs="Times New Roman"/>
                <w:color w:val="000000"/>
                <w:sz w:val="22"/>
              </w:rPr>
            </w:pPr>
            <w:r>
              <w:rPr>
                <w:rFonts w:eastAsia="DengXian" w:cs="Times New Roman"/>
                <w:color w:val="000000"/>
                <w:sz w:val="22"/>
              </w:rPr>
              <w:t>DBP</w:t>
            </w:r>
          </w:p>
        </w:tc>
        <w:tc>
          <w:tcPr>
            <w:tcW w:w="770" w:type="pct"/>
            <w:tcBorders>
              <w:top w:val="nil"/>
              <w:left w:val="nil"/>
              <w:bottom w:val="nil"/>
              <w:right w:val="nil"/>
            </w:tcBorders>
            <w:shd w:val="clear" w:color="auto" w:fill="auto"/>
            <w:noWrap/>
            <w:vAlign w:val="bottom"/>
          </w:tcPr>
          <w:p w14:paraId="6D80D9D5"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21</w:t>
            </w:r>
            <w:r>
              <w:rPr>
                <w:rFonts w:eastAsia="SimSun" w:cs="Times New Roman"/>
                <w:color w:val="000000"/>
                <w:sz w:val="22"/>
                <w:lang w:val="en-GB"/>
              </w:rPr>
              <w:t>,</w:t>
            </w:r>
            <w:r>
              <w:rPr>
                <w:rFonts w:eastAsia="SimSun" w:cs="Times New Roman"/>
                <w:color w:val="000000"/>
                <w:sz w:val="22"/>
              </w:rPr>
              <w:t>716</w:t>
            </w:r>
          </w:p>
        </w:tc>
        <w:tc>
          <w:tcPr>
            <w:tcW w:w="891" w:type="pct"/>
            <w:tcBorders>
              <w:top w:val="nil"/>
              <w:left w:val="nil"/>
              <w:bottom w:val="nil"/>
              <w:right w:val="nil"/>
            </w:tcBorders>
            <w:shd w:val="clear" w:color="auto" w:fill="auto"/>
            <w:noWrap/>
            <w:vAlign w:val="bottom"/>
          </w:tcPr>
          <w:p w14:paraId="0331B0B3"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185</w:t>
            </w:r>
          </w:p>
        </w:tc>
        <w:tc>
          <w:tcPr>
            <w:tcW w:w="976" w:type="pct"/>
            <w:tcBorders>
              <w:top w:val="nil"/>
              <w:left w:val="nil"/>
              <w:bottom w:val="nil"/>
              <w:right w:val="nil"/>
            </w:tcBorders>
            <w:shd w:val="clear" w:color="auto" w:fill="auto"/>
            <w:noWrap/>
            <w:vAlign w:val="bottom"/>
          </w:tcPr>
          <w:p w14:paraId="2454814B"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0.85</w:t>
            </w:r>
          </w:p>
        </w:tc>
      </w:tr>
      <w:tr w:rsidR="00771FF5" w14:paraId="63EEC75D" w14:textId="77777777" w:rsidTr="003112D3">
        <w:trPr>
          <w:trHeight w:val="270"/>
        </w:trPr>
        <w:tc>
          <w:tcPr>
            <w:tcW w:w="2363" w:type="pct"/>
            <w:tcBorders>
              <w:top w:val="nil"/>
              <w:left w:val="nil"/>
              <w:bottom w:val="nil"/>
              <w:right w:val="nil"/>
            </w:tcBorders>
            <w:shd w:val="clear" w:color="000000" w:fill="FFFFFF"/>
            <w:vAlign w:val="center"/>
          </w:tcPr>
          <w:p w14:paraId="2E7D7C6B" w14:textId="77777777" w:rsidR="00771FF5" w:rsidRDefault="00771FF5" w:rsidP="00771FF5">
            <w:pPr>
              <w:spacing w:before="0" w:after="0"/>
              <w:rPr>
                <w:rFonts w:eastAsia="DengXian" w:cs="Times New Roman"/>
                <w:color w:val="000000"/>
                <w:sz w:val="22"/>
              </w:rPr>
            </w:pPr>
            <w:r>
              <w:rPr>
                <w:rFonts w:eastAsia="DengXian" w:cs="Times New Roman"/>
                <w:color w:val="000000"/>
                <w:sz w:val="22"/>
              </w:rPr>
              <w:t>HDL-C</w:t>
            </w:r>
          </w:p>
        </w:tc>
        <w:tc>
          <w:tcPr>
            <w:tcW w:w="770" w:type="pct"/>
            <w:tcBorders>
              <w:top w:val="nil"/>
              <w:left w:val="nil"/>
              <w:bottom w:val="nil"/>
              <w:right w:val="nil"/>
            </w:tcBorders>
            <w:shd w:val="clear" w:color="auto" w:fill="auto"/>
            <w:noWrap/>
            <w:vAlign w:val="bottom"/>
          </w:tcPr>
          <w:p w14:paraId="1F1AE99E"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21</w:t>
            </w:r>
            <w:r>
              <w:rPr>
                <w:rFonts w:eastAsia="SimSun" w:cs="Times New Roman"/>
                <w:color w:val="000000"/>
                <w:sz w:val="22"/>
                <w:lang w:val="en-GB"/>
              </w:rPr>
              <w:t>,</w:t>
            </w:r>
            <w:r>
              <w:rPr>
                <w:rFonts w:eastAsia="SimSun" w:cs="Times New Roman"/>
                <w:color w:val="000000"/>
                <w:sz w:val="22"/>
              </w:rPr>
              <w:t>716</w:t>
            </w:r>
          </w:p>
        </w:tc>
        <w:tc>
          <w:tcPr>
            <w:tcW w:w="891" w:type="pct"/>
            <w:tcBorders>
              <w:top w:val="nil"/>
              <w:left w:val="nil"/>
              <w:bottom w:val="nil"/>
              <w:right w:val="nil"/>
            </w:tcBorders>
            <w:shd w:val="clear" w:color="auto" w:fill="auto"/>
            <w:noWrap/>
            <w:vAlign w:val="bottom"/>
          </w:tcPr>
          <w:p w14:paraId="66811695"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191</w:t>
            </w:r>
          </w:p>
        </w:tc>
        <w:tc>
          <w:tcPr>
            <w:tcW w:w="976" w:type="pct"/>
            <w:tcBorders>
              <w:top w:val="nil"/>
              <w:left w:val="nil"/>
              <w:bottom w:val="nil"/>
              <w:right w:val="nil"/>
            </w:tcBorders>
            <w:shd w:val="clear" w:color="auto" w:fill="auto"/>
            <w:noWrap/>
            <w:vAlign w:val="bottom"/>
          </w:tcPr>
          <w:p w14:paraId="014C3736"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0.88</w:t>
            </w:r>
          </w:p>
        </w:tc>
      </w:tr>
      <w:tr w:rsidR="00771FF5" w14:paraId="3E9959BB" w14:textId="77777777" w:rsidTr="003112D3">
        <w:trPr>
          <w:trHeight w:val="270"/>
        </w:trPr>
        <w:tc>
          <w:tcPr>
            <w:tcW w:w="2363" w:type="pct"/>
            <w:tcBorders>
              <w:top w:val="nil"/>
              <w:left w:val="nil"/>
              <w:bottom w:val="nil"/>
              <w:right w:val="nil"/>
            </w:tcBorders>
            <w:shd w:val="clear" w:color="000000" w:fill="FFFFFF"/>
            <w:vAlign w:val="center"/>
          </w:tcPr>
          <w:p w14:paraId="5A633631" w14:textId="77777777" w:rsidR="00771FF5" w:rsidRDefault="00771FF5" w:rsidP="00771FF5">
            <w:pPr>
              <w:spacing w:before="0" w:after="0"/>
              <w:rPr>
                <w:rFonts w:eastAsia="DengXian" w:cs="Times New Roman"/>
                <w:color w:val="000000"/>
                <w:sz w:val="22"/>
              </w:rPr>
            </w:pPr>
            <w:r>
              <w:rPr>
                <w:rFonts w:eastAsia="DengXian" w:cs="Times New Roman"/>
                <w:color w:val="000000"/>
                <w:sz w:val="22"/>
              </w:rPr>
              <w:t>LDL-C</w:t>
            </w:r>
          </w:p>
        </w:tc>
        <w:tc>
          <w:tcPr>
            <w:tcW w:w="770" w:type="pct"/>
            <w:tcBorders>
              <w:top w:val="nil"/>
              <w:left w:val="nil"/>
              <w:bottom w:val="nil"/>
              <w:right w:val="nil"/>
            </w:tcBorders>
            <w:shd w:val="clear" w:color="auto" w:fill="auto"/>
            <w:noWrap/>
            <w:vAlign w:val="bottom"/>
          </w:tcPr>
          <w:p w14:paraId="2B22E153"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21</w:t>
            </w:r>
            <w:r>
              <w:rPr>
                <w:rFonts w:eastAsia="SimSun" w:cs="Times New Roman"/>
                <w:color w:val="000000"/>
                <w:sz w:val="22"/>
                <w:lang w:val="en-GB"/>
              </w:rPr>
              <w:t>,</w:t>
            </w:r>
            <w:r>
              <w:rPr>
                <w:rFonts w:eastAsia="SimSun" w:cs="Times New Roman"/>
                <w:color w:val="000000"/>
                <w:sz w:val="22"/>
              </w:rPr>
              <w:t>716</w:t>
            </w:r>
          </w:p>
        </w:tc>
        <w:tc>
          <w:tcPr>
            <w:tcW w:w="891" w:type="pct"/>
            <w:tcBorders>
              <w:top w:val="nil"/>
              <w:left w:val="nil"/>
              <w:bottom w:val="nil"/>
              <w:right w:val="nil"/>
            </w:tcBorders>
            <w:shd w:val="clear" w:color="auto" w:fill="auto"/>
            <w:noWrap/>
            <w:vAlign w:val="bottom"/>
          </w:tcPr>
          <w:p w14:paraId="742AF9BA"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217</w:t>
            </w:r>
          </w:p>
        </w:tc>
        <w:tc>
          <w:tcPr>
            <w:tcW w:w="976" w:type="pct"/>
            <w:tcBorders>
              <w:top w:val="nil"/>
              <w:left w:val="nil"/>
              <w:bottom w:val="nil"/>
              <w:right w:val="nil"/>
            </w:tcBorders>
            <w:shd w:val="clear" w:color="auto" w:fill="auto"/>
            <w:noWrap/>
            <w:vAlign w:val="bottom"/>
          </w:tcPr>
          <w:p w14:paraId="2FBB46D6"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0.99</w:t>
            </w:r>
          </w:p>
        </w:tc>
      </w:tr>
      <w:tr w:rsidR="00771FF5" w14:paraId="382FD5C2" w14:textId="77777777" w:rsidTr="003112D3">
        <w:trPr>
          <w:trHeight w:val="270"/>
        </w:trPr>
        <w:tc>
          <w:tcPr>
            <w:tcW w:w="2363" w:type="pct"/>
            <w:tcBorders>
              <w:top w:val="nil"/>
              <w:left w:val="nil"/>
              <w:bottom w:val="nil"/>
              <w:right w:val="nil"/>
            </w:tcBorders>
            <w:shd w:val="clear" w:color="000000" w:fill="FFFFFF"/>
            <w:vAlign w:val="center"/>
          </w:tcPr>
          <w:p w14:paraId="1C143A8B" w14:textId="77777777" w:rsidR="00771FF5" w:rsidRDefault="00771FF5" w:rsidP="00771FF5">
            <w:pPr>
              <w:spacing w:before="0" w:after="0"/>
              <w:rPr>
                <w:rFonts w:eastAsia="DengXian" w:cs="Times New Roman"/>
                <w:color w:val="000000"/>
                <w:sz w:val="22"/>
              </w:rPr>
            </w:pPr>
            <w:r>
              <w:rPr>
                <w:rFonts w:eastAsia="DengXian" w:cs="Times New Roman"/>
                <w:color w:val="000000"/>
                <w:sz w:val="22"/>
              </w:rPr>
              <w:t>Smok</w:t>
            </w:r>
            <w:r>
              <w:rPr>
                <w:rFonts w:eastAsia="DengXian" w:cs="Times New Roman" w:hint="eastAsia"/>
                <w:color w:val="000000"/>
                <w:sz w:val="22"/>
              </w:rPr>
              <w:t>ing</w:t>
            </w:r>
          </w:p>
        </w:tc>
        <w:tc>
          <w:tcPr>
            <w:tcW w:w="770" w:type="pct"/>
            <w:tcBorders>
              <w:top w:val="nil"/>
              <w:left w:val="nil"/>
              <w:bottom w:val="nil"/>
              <w:right w:val="nil"/>
            </w:tcBorders>
            <w:shd w:val="clear" w:color="auto" w:fill="auto"/>
            <w:noWrap/>
            <w:vAlign w:val="bottom"/>
          </w:tcPr>
          <w:p w14:paraId="4F16B7A5"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21</w:t>
            </w:r>
            <w:r>
              <w:rPr>
                <w:rFonts w:eastAsia="SimSun" w:cs="Times New Roman"/>
                <w:color w:val="000000"/>
                <w:sz w:val="22"/>
                <w:lang w:val="en-GB"/>
              </w:rPr>
              <w:t>,</w:t>
            </w:r>
            <w:r>
              <w:rPr>
                <w:rFonts w:eastAsia="SimSun" w:cs="Times New Roman"/>
                <w:color w:val="000000"/>
                <w:sz w:val="22"/>
              </w:rPr>
              <w:t>716</w:t>
            </w:r>
          </w:p>
        </w:tc>
        <w:tc>
          <w:tcPr>
            <w:tcW w:w="891" w:type="pct"/>
            <w:tcBorders>
              <w:top w:val="nil"/>
              <w:left w:val="nil"/>
              <w:bottom w:val="nil"/>
              <w:right w:val="nil"/>
            </w:tcBorders>
            <w:shd w:val="clear" w:color="auto" w:fill="auto"/>
            <w:noWrap/>
            <w:vAlign w:val="bottom"/>
          </w:tcPr>
          <w:p w14:paraId="359003EB"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0</w:t>
            </w:r>
          </w:p>
        </w:tc>
        <w:tc>
          <w:tcPr>
            <w:tcW w:w="976" w:type="pct"/>
            <w:tcBorders>
              <w:top w:val="nil"/>
              <w:left w:val="nil"/>
              <w:bottom w:val="nil"/>
              <w:right w:val="nil"/>
            </w:tcBorders>
            <w:shd w:val="clear" w:color="auto" w:fill="auto"/>
            <w:noWrap/>
            <w:vAlign w:val="bottom"/>
          </w:tcPr>
          <w:p w14:paraId="70F31314"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0</w:t>
            </w:r>
          </w:p>
        </w:tc>
      </w:tr>
      <w:tr w:rsidR="00771FF5" w14:paraId="1B7029F7" w14:textId="77777777" w:rsidTr="003112D3">
        <w:trPr>
          <w:trHeight w:val="270"/>
        </w:trPr>
        <w:tc>
          <w:tcPr>
            <w:tcW w:w="2363" w:type="pct"/>
            <w:tcBorders>
              <w:top w:val="nil"/>
              <w:left w:val="nil"/>
              <w:bottom w:val="nil"/>
              <w:right w:val="nil"/>
            </w:tcBorders>
            <w:shd w:val="clear" w:color="000000" w:fill="FFFFFF"/>
            <w:vAlign w:val="center"/>
          </w:tcPr>
          <w:p w14:paraId="1E28581C" w14:textId="77777777" w:rsidR="00771FF5" w:rsidRDefault="00771FF5" w:rsidP="00771FF5">
            <w:pPr>
              <w:spacing w:before="0" w:after="0"/>
              <w:rPr>
                <w:rFonts w:eastAsia="DengXian" w:cs="Times New Roman"/>
                <w:color w:val="000000"/>
                <w:sz w:val="22"/>
              </w:rPr>
            </w:pPr>
            <w:r>
              <w:rPr>
                <w:rFonts w:eastAsia="DengXian" w:cs="Times New Roman"/>
                <w:color w:val="000000"/>
                <w:sz w:val="22"/>
              </w:rPr>
              <w:t>Drinking</w:t>
            </w:r>
          </w:p>
        </w:tc>
        <w:tc>
          <w:tcPr>
            <w:tcW w:w="770" w:type="pct"/>
            <w:tcBorders>
              <w:top w:val="nil"/>
              <w:left w:val="nil"/>
              <w:bottom w:val="nil"/>
              <w:right w:val="nil"/>
            </w:tcBorders>
            <w:shd w:val="clear" w:color="auto" w:fill="auto"/>
            <w:noWrap/>
            <w:vAlign w:val="bottom"/>
          </w:tcPr>
          <w:p w14:paraId="0CC8DB7A"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21</w:t>
            </w:r>
            <w:r>
              <w:rPr>
                <w:rFonts w:eastAsia="SimSun" w:cs="Times New Roman"/>
                <w:color w:val="000000"/>
                <w:sz w:val="22"/>
                <w:lang w:val="en-GB"/>
              </w:rPr>
              <w:t>,</w:t>
            </w:r>
            <w:r>
              <w:rPr>
                <w:rFonts w:eastAsia="SimSun" w:cs="Times New Roman"/>
                <w:color w:val="000000"/>
                <w:sz w:val="22"/>
              </w:rPr>
              <w:t>716</w:t>
            </w:r>
          </w:p>
        </w:tc>
        <w:tc>
          <w:tcPr>
            <w:tcW w:w="891" w:type="pct"/>
            <w:tcBorders>
              <w:top w:val="nil"/>
              <w:left w:val="nil"/>
              <w:bottom w:val="nil"/>
              <w:right w:val="nil"/>
            </w:tcBorders>
            <w:shd w:val="clear" w:color="auto" w:fill="auto"/>
            <w:noWrap/>
            <w:vAlign w:val="bottom"/>
          </w:tcPr>
          <w:p w14:paraId="10989EBB"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1</w:t>
            </w:r>
          </w:p>
        </w:tc>
        <w:tc>
          <w:tcPr>
            <w:tcW w:w="976" w:type="pct"/>
            <w:tcBorders>
              <w:top w:val="nil"/>
              <w:left w:val="nil"/>
              <w:bottom w:val="nil"/>
              <w:right w:val="nil"/>
            </w:tcBorders>
            <w:shd w:val="clear" w:color="auto" w:fill="auto"/>
            <w:noWrap/>
            <w:vAlign w:val="bottom"/>
          </w:tcPr>
          <w:p w14:paraId="4A0E2361"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0.05</w:t>
            </w:r>
          </w:p>
        </w:tc>
      </w:tr>
      <w:tr w:rsidR="00771FF5" w14:paraId="599231AF" w14:textId="77777777" w:rsidTr="003112D3">
        <w:trPr>
          <w:trHeight w:val="270"/>
        </w:trPr>
        <w:tc>
          <w:tcPr>
            <w:tcW w:w="2363" w:type="pct"/>
            <w:tcBorders>
              <w:top w:val="nil"/>
              <w:left w:val="nil"/>
              <w:bottom w:val="nil"/>
              <w:right w:val="nil"/>
            </w:tcBorders>
            <w:shd w:val="clear" w:color="000000" w:fill="FFFFFF"/>
            <w:vAlign w:val="center"/>
          </w:tcPr>
          <w:p w14:paraId="3906A785" w14:textId="77777777" w:rsidR="00771FF5" w:rsidRDefault="00771FF5" w:rsidP="00771FF5">
            <w:pPr>
              <w:spacing w:before="0" w:after="0"/>
              <w:rPr>
                <w:rFonts w:eastAsia="DengXian" w:cs="Times New Roman"/>
                <w:color w:val="000000"/>
                <w:sz w:val="22"/>
              </w:rPr>
            </w:pPr>
            <w:r>
              <w:rPr>
                <w:rFonts w:eastAsia="DengXian" w:cs="Times New Roman"/>
                <w:color w:val="000000"/>
                <w:sz w:val="22"/>
              </w:rPr>
              <w:t>Physical exercise</w:t>
            </w:r>
          </w:p>
        </w:tc>
        <w:tc>
          <w:tcPr>
            <w:tcW w:w="770" w:type="pct"/>
            <w:tcBorders>
              <w:top w:val="nil"/>
              <w:left w:val="nil"/>
              <w:bottom w:val="nil"/>
              <w:right w:val="nil"/>
            </w:tcBorders>
            <w:shd w:val="clear" w:color="auto" w:fill="auto"/>
            <w:noWrap/>
            <w:vAlign w:val="bottom"/>
          </w:tcPr>
          <w:p w14:paraId="4F557B66"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21</w:t>
            </w:r>
            <w:r>
              <w:rPr>
                <w:rFonts w:eastAsia="SimSun" w:cs="Times New Roman"/>
                <w:color w:val="000000"/>
                <w:sz w:val="22"/>
                <w:lang w:val="en-GB"/>
              </w:rPr>
              <w:t>,</w:t>
            </w:r>
            <w:r>
              <w:rPr>
                <w:rFonts w:eastAsia="SimSun" w:cs="Times New Roman"/>
                <w:color w:val="000000"/>
                <w:sz w:val="22"/>
              </w:rPr>
              <w:t>716</w:t>
            </w:r>
          </w:p>
        </w:tc>
        <w:tc>
          <w:tcPr>
            <w:tcW w:w="891" w:type="pct"/>
            <w:tcBorders>
              <w:top w:val="nil"/>
              <w:left w:val="nil"/>
              <w:bottom w:val="nil"/>
              <w:right w:val="nil"/>
            </w:tcBorders>
            <w:shd w:val="clear" w:color="auto" w:fill="auto"/>
            <w:noWrap/>
            <w:vAlign w:val="bottom"/>
          </w:tcPr>
          <w:p w14:paraId="1D6BC8FB"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0</w:t>
            </w:r>
          </w:p>
        </w:tc>
        <w:tc>
          <w:tcPr>
            <w:tcW w:w="976" w:type="pct"/>
            <w:tcBorders>
              <w:top w:val="nil"/>
              <w:left w:val="nil"/>
              <w:bottom w:val="nil"/>
              <w:right w:val="nil"/>
            </w:tcBorders>
            <w:shd w:val="clear" w:color="auto" w:fill="auto"/>
            <w:noWrap/>
            <w:vAlign w:val="bottom"/>
          </w:tcPr>
          <w:p w14:paraId="4B09FF41"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0</w:t>
            </w:r>
          </w:p>
        </w:tc>
      </w:tr>
      <w:tr w:rsidR="00771FF5" w14:paraId="44C4AE7E" w14:textId="77777777" w:rsidTr="003112D3">
        <w:trPr>
          <w:trHeight w:val="270"/>
        </w:trPr>
        <w:tc>
          <w:tcPr>
            <w:tcW w:w="2363" w:type="pct"/>
            <w:tcBorders>
              <w:top w:val="nil"/>
              <w:left w:val="nil"/>
              <w:right w:val="nil"/>
            </w:tcBorders>
            <w:shd w:val="clear" w:color="000000" w:fill="FFFFFF"/>
            <w:vAlign w:val="center"/>
          </w:tcPr>
          <w:p w14:paraId="5888F4F1" w14:textId="77777777" w:rsidR="00771FF5" w:rsidRDefault="00771FF5" w:rsidP="00771FF5">
            <w:pPr>
              <w:spacing w:before="0" w:after="0"/>
              <w:rPr>
                <w:rFonts w:eastAsia="DengXian" w:cs="Times New Roman"/>
                <w:color w:val="000000"/>
                <w:sz w:val="22"/>
              </w:rPr>
            </w:pPr>
            <w:r>
              <w:rPr>
                <w:rFonts w:eastAsia="DengXian" w:cs="Times New Roman"/>
                <w:color w:val="000000"/>
                <w:sz w:val="22"/>
              </w:rPr>
              <w:t>Family history of diabetes</w:t>
            </w:r>
          </w:p>
        </w:tc>
        <w:tc>
          <w:tcPr>
            <w:tcW w:w="770" w:type="pct"/>
            <w:tcBorders>
              <w:top w:val="nil"/>
              <w:left w:val="nil"/>
              <w:right w:val="nil"/>
            </w:tcBorders>
            <w:shd w:val="clear" w:color="auto" w:fill="auto"/>
            <w:noWrap/>
            <w:vAlign w:val="bottom"/>
          </w:tcPr>
          <w:p w14:paraId="1929B0BF"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21</w:t>
            </w:r>
            <w:r>
              <w:rPr>
                <w:rFonts w:eastAsia="SimSun" w:cs="Times New Roman"/>
                <w:color w:val="000000"/>
                <w:sz w:val="22"/>
                <w:lang w:val="en-GB"/>
              </w:rPr>
              <w:t>,</w:t>
            </w:r>
            <w:r>
              <w:rPr>
                <w:rFonts w:eastAsia="SimSun" w:cs="Times New Roman"/>
                <w:color w:val="000000"/>
                <w:sz w:val="22"/>
              </w:rPr>
              <w:t>716</w:t>
            </w:r>
          </w:p>
        </w:tc>
        <w:tc>
          <w:tcPr>
            <w:tcW w:w="891" w:type="pct"/>
            <w:tcBorders>
              <w:top w:val="nil"/>
              <w:left w:val="nil"/>
              <w:right w:val="nil"/>
            </w:tcBorders>
            <w:shd w:val="clear" w:color="auto" w:fill="auto"/>
            <w:noWrap/>
            <w:vAlign w:val="bottom"/>
          </w:tcPr>
          <w:p w14:paraId="6F6E5824"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0</w:t>
            </w:r>
          </w:p>
        </w:tc>
        <w:tc>
          <w:tcPr>
            <w:tcW w:w="976" w:type="pct"/>
            <w:tcBorders>
              <w:top w:val="nil"/>
              <w:left w:val="nil"/>
              <w:right w:val="nil"/>
            </w:tcBorders>
            <w:shd w:val="clear" w:color="auto" w:fill="auto"/>
            <w:noWrap/>
            <w:vAlign w:val="bottom"/>
          </w:tcPr>
          <w:p w14:paraId="7738453A"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0</w:t>
            </w:r>
          </w:p>
        </w:tc>
      </w:tr>
      <w:tr w:rsidR="00771FF5" w14:paraId="34EF0FE1" w14:textId="77777777" w:rsidTr="003112D3">
        <w:trPr>
          <w:trHeight w:val="270"/>
        </w:trPr>
        <w:tc>
          <w:tcPr>
            <w:tcW w:w="2363" w:type="pct"/>
            <w:tcBorders>
              <w:top w:val="nil"/>
              <w:left w:val="nil"/>
              <w:bottom w:val="single" w:sz="4" w:space="0" w:color="auto"/>
              <w:right w:val="nil"/>
            </w:tcBorders>
            <w:shd w:val="clear" w:color="000000" w:fill="FFFFFF"/>
            <w:vAlign w:val="center"/>
          </w:tcPr>
          <w:p w14:paraId="4866EB51" w14:textId="77777777" w:rsidR="00771FF5" w:rsidRDefault="00771FF5" w:rsidP="00771FF5">
            <w:pPr>
              <w:spacing w:before="0" w:after="0"/>
              <w:rPr>
                <w:rFonts w:eastAsia="DengXian" w:cs="Times New Roman"/>
                <w:color w:val="000000"/>
                <w:sz w:val="22"/>
              </w:rPr>
            </w:pPr>
            <w:r>
              <w:rPr>
                <w:rFonts w:eastAsia="DengXian" w:cs="Times New Roman"/>
                <w:color w:val="000000"/>
                <w:sz w:val="22"/>
              </w:rPr>
              <w:t>Education</w:t>
            </w:r>
          </w:p>
        </w:tc>
        <w:tc>
          <w:tcPr>
            <w:tcW w:w="770" w:type="pct"/>
            <w:tcBorders>
              <w:top w:val="nil"/>
              <w:left w:val="nil"/>
              <w:bottom w:val="single" w:sz="4" w:space="0" w:color="auto"/>
              <w:right w:val="nil"/>
            </w:tcBorders>
            <w:shd w:val="clear" w:color="auto" w:fill="auto"/>
            <w:noWrap/>
            <w:vAlign w:val="bottom"/>
          </w:tcPr>
          <w:p w14:paraId="2F5E7092"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21</w:t>
            </w:r>
            <w:r>
              <w:rPr>
                <w:rFonts w:eastAsia="SimSun" w:cs="Times New Roman"/>
                <w:color w:val="000000"/>
                <w:sz w:val="22"/>
                <w:lang w:val="en-GB"/>
              </w:rPr>
              <w:t>,</w:t>
            </w:r>
            <w:r>
              <w:rPr>
                <w:rFonts w:eastAsia="SimSun" w:cs="Times New Roman"/>
                <w:color w:val="000000"/>
                <w:sz w:val="22"/>
              </w:rPr>
              <w:t>716</w:t>
            </w:r>
          </w:p>
        </w:tc>
        <w:tc>
          <w:tcPr>
            <w:tcW w:w="891" w:type="pct"/>
            <w:tcBorders>
              <w:top w:val="nil"/>
              <w:left w:val="nil"/>
              <w:bottom w:val="single" w:sz="4" w:space="0" w:color="auto"/>
              <w:right w:val="nil"/>
            </w:tcBorders>
            <w:shd w:val="clear" w:color="auto" w:fill="auto"/>
            <w:noWrap/>
            <w:vAlign w:val="bottom"/>
          </w:tcPr>
          <w:p w14:paraId="55116B54"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533</w:t>
            </w:r>
          </w:p>
        </w:tc>
        <w:tc>
          <w:tcPr>
            <w:tcW w:w="976" w:type="pct"/>
            <w:tcBorders>
              <w:top w:val="nil"/>
              <w:left w:val="nil"/>
              <w:bottom w:val="single" w:sz="4" w:space="0" w:color="auto"/>
              <w:right w:val="nil"/>
            </w:tcBorders>
            <w:shd w:val="clear" w:color="auto" w:fill="auto"/>
            <w:noWrap/>
            <w:vAlign w:val="bottom"/>
          </w:tcPr>
          <w:p w14:paraId="184F4AA3" w14:textId="77777777" w:rsidR="00771FF5" w:rsidRDefault="00771FF5" w:rsidP="00771FF5">
            <w:pPr>
              <w:spacing w:before="0" w:after="0"/>
              <w:jc w:val="center"/>
              <w:rPr>
                <w:rFonts w:eastAsia="SimSun" w:cs="Times New Roman"/>
                <w:color w:val="000000"/>
                <w:sz w:val="22"/>
              </w:rPr>
            </w:pPr>
            <w:r>
              <w:rPr>
                <w:rFonts w:eastAsia="SimSun" w:cs="Times New Roman"/>
                <w:color w:val="000000"/>
                <w:sz w:val="22"/>
              </w:rPr>
              <w:t>2.45</w:t>
            </w:r>
          </w:p>
        </w:tc>
      </w:tr>
    </w:tbl>
    <w:p w14:paraId="5240FB36" w14:textId="77777777" w:rsidR="00771FF5" w:rsidRDefault="00771FF5" w:rsidP="00771FF5">
      <w:pPr>
        <w:autoSpaceDE w:val="0"/>
        <w:autoSpaceDN w:val="0"/>
        <w:adjustRightInd w:val="0"/>
        <w:spacing w:before="0" w:after="0"/>
        <w:rPr>
          <w:rFonts w:cs="Times New Roman"/>
          <w:sz w:val="22"/>
        </w:rPr>
      </w:pPr>
      <w:r w:rsidRPr="00E138FD">
        <w:rPr>
          <w:rFonts w:cs="Times New Roman"/>
          <w:sz w:val="22"/>
        </w:rPr>
        <w:t>Note</w:t>
      </w:r>
      <w:r>
        <w:rPr>
          <w:rFonts w:cs="Times New Roman"/>
          <w:sz w:val="22"/>
        </w:rPr>
        <w:t>s</w:t>
      </w:r>
      <w:r w:rsidRPr="00E138FD">
        <w:rPr>
          <w:rFonts w:cs="Times New Roman"/>
          <w:sz w:val="22"/>
        </w:rPr>
        <w:t xml:space="preserve">: </w:t>
      </w:r>
      <w:r w:rsidRPr="00313F31">
        <w:rPr>
          <w:rFonts w:cs="Times New Roman"/>
          <w:sz w:val="22"/>
        </w:rPr>
        <w:t>DBP</w:t>
      </w:r>
      <w:r>
        <w:rPr>
          <w:rFonts w:cs="Times New Roman" w:hint="eastAsia"/>
          <w:sz w:val="22"/>
        </w:rPr>
        <w:t xml:space="preserve"> </w:t>
      </w:r>
      <w:r w:rsidRPr="00313F31">
        <w:rPr>
          <w:rFonts w:cs="Times New Roman"/>
          <w:sz w:val="22"/>
        </w:rPr>
        <w:t xml:space="preserve">= diastolic blood pressure; </w:t>
      </w:r>
      <w:r w:rsidRPr="00E138FD">
        <w:rPr>
          <w:rFonts w:cs="Times New Roman"/>
          <w:sz w:val="22"/>
        </w:rPr>
        <w:t>HDL-C</w:t>
      </w:r>
      <w:r>
        <w:rPr>
          <w:rFonts w:cs="Times New Roman" w:hint="eastAsia"/>
          <w:sz w:val="22"/>
        </w:rPr>
        <w:t xml:space="preserve"> </w:t>
      </w:r>
      <w:r w:rsidRPr="00E138FD">
        <w:rPr>
          <w:rFonts w:cs="Times New Roman"/>
          <w:sz w:val="22"/>
        </w:rPr>
        <w:t>=</w:t>
      </w:r>
      <w:r>
        <w:rPr>
          <w:rFonts w:cs="Times New Roman" w:hint="eastAsia"/>
          <w:sz w:val="22"/>
        </w:rPr>
        <w:t xml:space="preserve"> </w:t>
      </w:r>
      <w:r w:rsidRPr="00E138FD">
        <w:rPr>
          <w:rFonts w:cs="Times New Roman"/>
          <w:sz w:val="22"/>
        </w:rPr>
        <w:t>high-density lipoprotein-cholesterol;</w:t>
      </w:r>
      <w:r>
        <w:rPr>
          <w:rFonts w:cs="Times New Roman" w:hint="eastAsia"/>
          <w:sz w:val="22"/>
        </w:rPr>
        <w:t xml:space="preserve"> </w:t>
      </w:r>
      <w:r w:rsidRPr="00E138FD">
        <w:rPr>
          <w:rFonts w:cs="Times New Roman"/>
          <w:sz w:val="22"/>
        </w:rPr>
        <w:t>LDL-C</w:t>
      </w:r>
      <w:r>
        <w:rPr>
          <w:rFonts w:cs="Times New Roman" w:hint="eastAsia"/>
          <w:sz w:val="22"/>
        </w:rPr>
        <w:t xml:space="preserve"> </w:t>
      </w:r>
      <w:r w:rsidRPr="00E138FD">
        <w:rPr>
          <w:rFonts w:cs="Times New Roman"/>
          <w:sz w:val="22"/>
        </w:rPr>
        <w:t>=</w:t>
      </w:r>
      <w:r>
        <w:rPr>
          <w:rFonts w:cs="Times New Roman" w:hint="eastAsia"/>
          <w:sz w:val="22"/>
        </w:rPr>
        <w:t xml:space="preserve"> </w:t>
      </w:r>
      <w:r w:rsidRPr="00E138FD">
        <w:rPr>
          <w:rFonts w:cs="Times New Roman"/>
          <w:sz w:val="22"/>
        </w:rPr>
        <w:t>low-</w:t>
      </w:r>
      <w:r>
        <w:rPr>
          <w:rFonts w:cs="Times New Roman"/>
          <w:sz w:val="22"/>
        </w:rPr>
        <w:t>density lipoprotein-cholesterol</w:t>
      </w:r>
      <w:r>
        <w:rPr>
          <w:rFonts w:cs="Times New Roman" w:hint="eastAsia"/>
          <w:sz w:val="22"/>
        </w:rPr>
        <w:t xml:space="preserve">; </w:t>
      </w:r>
      <w:r w:rsidRPr="00E138FD">
        <w:rPr>
          <w:rFonts w:cs="Times New Roman"/>
          <w:sz w:val="22"/>
        </w:rPr>
        <w:t>SBP = Systolic blood pressure</w:t>
      </w:r>
      <w:r>
        <w:rPr>
          <w:rFonts w:cs="Times New Roman" w:hint="eastAsia"/>
          <w:sz w:val="22"/>
        </w:rPr>
        <w:t>.</w:t>
      </w:r>
      <w:r w:rsidRPr="00E138FD">
        <w:rPr>
          <w:rFonts w:cs="Times New Roman"/>
          <w:sz w:val="22"/>
        </w:rPr>
        <w:t xml:space="preserve"> </w:t>
      </w:r>
    </w:p>
    <w:p w14:paraId="40FA7EC1" w14:textId="77777777" w:rsidR="00DE23E8" w:rsidRPr="001549D3" w:rsidRDefault="00DE23E8" w:rsidP="00654E8F">
      <w:pPr>
        <w:spacing w:before="240"/>
      </w:pP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02E6" w14:textId="77777777" w:rsidR="00DA198E" w:rsidRDefault="00DA198E" w:rsidP="00117666">
      <w:pPr>
        <w:spacing w:after="0"/>
      </w:pPr>
      <w:r>
        <w:separator/>
      </w:r>
    </w:p>
  </w:endnote>
  <w:endnote w:type="continuationSeparator" w:id="0">
    <w:p w14:paraId="1348847E" w14:textId="77777777" w:rsidR="00DA198E" w:rsidRDefault="00DA198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D36C68"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D36C6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D36C68"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D36C6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9256" w14:textId="77777777" w:rsidR="00DA198E" w:rsidRDefault="00DA198E" w:rsidP="00117666">
      <w:pPr>
        <w:spacing w:after="0"/>
      </w:pPr>
      <w:r>
        <w:separator/>
      </w:r>
    </w:p>
  </w:footnote>
  <w:footnote w:type="continuationSeparator" w:id="0">
    <w:p w14:paraId="59238389" w14:textId="77777777" w:rsidR="00DA198E" w:rsidRDefault="00DA198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D36C68"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D36C68"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71FF5"/>
    <w:rsid w:val="00790BB3"/>
    <w:rsid w:val="007C206C"/>
    <w:rsid w:val="00803D24"/>
    <w:rsid w:val="00817DD6"/>
    <w:rsid w:val="00885156"/>
    <w:rsid w:val="009151AA"/>
    <w:rsid w:val="0093429D"/>
    <w:rsid w:val="00943573"/>
    <w:rsid w:val="00970F7D"/>
    <w:rsid w:val="00994A3D"/>
    <w:rsid w:val="00995D46"/>
    <w:rsid w:val="009C2B12"/>
    <w:rsid w:val="009C70F3"/>
    <w:rsid w:val="00A13201"/>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36C68"/>
    <w:rsid w:val="00DA198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4</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Uzoamaka Anyanwu</cp:lastModifiedBy>
  <cp:revision>2</cp:revision>
  <cp:lastPrinted>2013-10-03T12:51:00Z</cp:lastPrinted>
  <dcterms:created xsi:type="dcterms:W3CDTF">2023-11-01T11:28:00Z</dcterms:created>
  <dcterms:modified xsi:type="dcterms:W3CDTF">2023-11-01T11:28:00Z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