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FEB" w:rsidRDefault="00F503D3">
      <w:pPr>
        <w:spacing w:line="240" w:lineRule="auto"/>
        <w:jc w:val="center"/>
      </w:pPr>
      <w:r>
        <w:rPr>
          <w:b/>
          <w:bCs/>
        </w:rPr>
        <w:t xml:space="preserve">Table </w:t>
      </w:r>
      <w:r>
        <w:rPr>
          <w:rFonts w:hint="eastAsia"/>
          <w:b/>
          <w:bCs/>
        </w:rPr>
        <w:t>S1</w:t>
      </w:r>
      <w:r>
        <w:rPr>
          <w:rFonts w:hint="eastAsia"/>
        </w:rPr>
        <w:t>.</w:t>
      </w:r>
      <w:r>
        <w:t xml:space="preserve"> The usage of </w:t>
      </w:r>
      <w:r>
        <w:rPr>
          <w:rFonts w:hint="eastAsia"/>
        </w:rPr>
        <w:t>p</w:t>
      </w:r>
      <w:r>
        <w:t xml:space="preserve">esticides in greenhouse </w:t>
      </w:r>
      <w:r>
        <w:rPr>
          <w:rFonts w:hint="eastAsia"/>
        </w:rPr>
        <w:t xml:space="preserve">worker </w:t>
      </w:r>
      <w:r>
        <w:t xml:space="preserve">and </w:t>
      </w:r>
      <w:r>
        <w:rPr>
          <w:rFonts w:hint="eastAsia"/>
        </w:rPr>
        <w:t>field worker</w:t>
      </w:r>
      <w:r>
        <w:t xml:space="preserve"> group</w:t>
      </w:r>
      <w:r>
        <w:rPr>
          <w:rFonts w:hint="eastAsia"/>
        </w:rPr>
        <w:t xml:space="preserve">s. </w:t>
      </w:r>
      <w:r>
        <w:rPr>
          <w:rFonts w:hint="eastAsia"/>
          <w:i/>
          <w:iCs/>
        </w:rPr>
        <w:t>n</w:t>
      </w:r>
      <w:r>
        <w:rPr>
          <w:rFonts w:hint="eastAsia"/>
        </w:rPr>
        <w:t xml:space="preserve"> (%)</w:t>
      </w:r>
    </w:p>
    <w:tbl>
      <w:tblPr>
        <w:tblStyle w:val="a3"/>
        <w:tblpPr w:leftFromText="180" w:rightFromText="180" w:vertAnchor="text" w:horzAnchor="page" w:tblpX="1749" w:tblpY="366"/>
        <w:tblOverlap w:val="never"/>
        <w:tblW w:w="8737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3"/>
        <w:gridCol w:w="2570"/>
        <w:gridCol w:w="1979"/>
        <w:gridCol w:w="1425"/>
      </w:tblGrid>
      <w:tr w:rsidR="004F0FEB">
        <w:trPr>
          <w:trHeight w:val="237"/>
        </w:trPr>
        <w:tc>
          <w:tcPr>
            <w:tcW w:w="2763" w:type="dxa"/>
            <w:tcBorders>
              <w:top w:val="single" w:sz="8" w:space="0" w:color="auto"/>
              <w:bottom w:val="single" w:sz="8" w:space="0" w:color="000000"/>
            </w:tcBorders>
          </w:tcPr>
          <w:p w:rsidR="004F0FEB" w:rsidRDefault="00F503D3">
            <w:pPr>
              <w:spacing w:line="240" w:lineRule="auto"/>
              <w:ind w:firstLine="422"/>
              <w:rPr>
                <w:b/>
              </w:rPr>
            </w:pPr>
            <w:bookmarkStart w:id="0" w:name="OLE_LINK4"/>
            <w:r>
              <w:rPr>
                <w:b/>
              </w:rPr>
              <w:t>Pesticide</w:t>
            </w:r>
            <w:bookmarkEnd w:id="0"/>
          </w:p>
        </w:tc>
        <w:tc>
          <w:tcPr>
            <w:tcW w:w="2570" w:type="dxa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4F0FEB" w:rsidRDefault="00F503D3">
            <w:pPr>
              <w:spacing w:line="240" w:lineRule="auto"/>
              <w:rPr>
                <w:b/>
              </w:rPr>
            </w:pPr>
            <w:r>
              <w:rPr>
                <w:rFonts w:cs="宋体" w:hint="eastAsia"/>
                <w:b/>
                <w:color w:val="000000"/>
                <w:sz w:val="20"/>
                <w:szCs w:val="20"/>
              </w:rPr>
              <w:t>G</w:t>
            </w:r>
            <w:r>
              <w:rPr>
                <w:rFonts w:cs="宋体"/>
                <w:b/>
                <w:color w:val="000000"/>
                <w:sz w:val="20"/>
                <w:szCs w:val="20"/>
              </w:rPr>
              <w:t xml:space="preserve">reenhouse </w:t>
            </w:r>
            <w:r>
              <w:rPr>
                <w:rFonts w:cs="宋体" w:hint="eastAsia"/>
                <w:b/>
                <w:color w:val="000000"/>
                <w:sz w:val="20"/>
                <w:szCs w:val="20"/>
              </w:rPr>
              <w:t xml:space="preserve">worker </w:t>
            </w:r>
            <w:r>
              <w:rPr>
                <w:rFonts w:cs="宋体"/>
                <w:b/>
                <w:color w:val="000000"/>
                <w:sz w:val="20"/>
                <w:szCs w:val="20"/>
              </w:rPr>
              <w:t>group</w:t>
            </w:r>
          </w:p>
        </w:tc>
        <w:tc>
          <w:tcPr>
            <w:tcW w:w="1979" w:type="dxa"/>
            <w:tcBorders>
              <w:top w:val="single" w:sz="8" w:space="0" w:color="auto"/>
              <w:bottom w:val="single" w:sz="8" w:space="0" w:color="000000"/>
            </w:tcBorders>
            <w:vAlign w:val="center"/>
          </w:tcPr>
          <w:p w:rsidR="004F0FEB" w:rsidRDefault="00F503D3">
            <w:pPr>
              <w:spacing w:line="240" w:lineRule="auto"/>
              <w:rPr>
                <w:b/>
              </w:rPr>
            </w:pPr>
            <w:r>
              <w:rPr>
                <w:rFonts w:cs="宋体" w:hint="eastAsia"/>
                <w:b/>
                <w:color w:val="000000"/>
                <w:sz w:val="20"/>
                <w:szCs w:val="20"/>
              </w:rPr>
              <w:t xml:space="preserve">Field worker </w:t>
            </w:r>
            <w:r>
              <w:rPr>
                <w:b/>
              </w:rPr>
              <w:t xml:space="preserve">group </w:t>
            </w:r>
          </w:p>
        </w:tc>
        <w:tc>
          <w:tcPr>
            <w:tcW w:w="1425" w:type="dxa"/>
            <w:tcBorders>
              <w:top w:val="single" w:sz="8" w:space="0" w:color="auto"/>
              <w:bottom w:val="single" w:sz="8" w:space="0" w:color="000000"/>
            </w:tcBorders>
          </w:tcPr>
          <w:p w:rsidR="004F0FEB" w:rsidRDefault="00F503D3">
            <w:pPr>
              <w:spacing w:line="240" w:lineRule="auto"/>
              <w:rPr>
                <w:b/>
                <w:i/>
              </w:rPr>
            </w:pPr>
            <w:r>
              <w:rPr>
                <w:rFonts w:hint="eastAsia"/>
                <w:b/>
                <w:i/>
              </w:rPr>
              <w:t>p-</w:t>
            </w:r>
            <w:r>
              <w:rPr>
                <w:rFonts w:hint="eastAsia"/>
                <w:b/>
                <w:iCs/>
              </w:rPr>
              <w:t>value</w:t>
            </w:r>
          </w:p>
        </w:tc>
      </w:tr>
      <w:tr w:rsidR="00C874AB" w:rsidTr="00C874AB">
        <w:trPr>
          <w:trHeight w:val="219"/>
        </w:trPr>
        <w:tc>
          <w:tcPr>
            <w:tcW w:w="2763" w:type="dxa"/>
            <w:tcBorders>
              <w:top w:val="single" w:sz="8" w:space="0" w:color="000000"/>
              <w:bottom w:val="nil"/>
            </w:tcBorders>
          </w:tcPr>
          <w:p w:rsidR="00C874AB" w:rsidRDefault="00C874AB" w:rsidP="00C874AB">
            <w:pPr>
              <w:spacing w:line="240" w:lineRule="auto"/>
              <w:rPr>
                <w:i/>
              </w:rPr>
            </w:pPr>
            <w:r>
              <w:rPr>
                <w:rFonts w:hint="eastAsia"/>
                <w:i/>
              </w:rPr>
              <w:t>n</w:t>
            </w:r>
            <w:r>
              <w:rPr>
                <w:i/>
              </w:rPr>
              <w:t xml:space="preserve"> </w:t>
            </w:r>
            <w:r>
              <w:t>(%)</w:t>
            </w:r>
          </w:p>
        </w:tc>
        <w:tc>
          <w:tcPr>
            <w:tcW w:w="2570" w:type="dxa"/>
            <w:tcBorders>
              <w:top w:val="single" w:sz="8" w:space="0" w:color="000000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7</w:t>
            </w:r>
            <w:r>
              <w:t>21 (76.1)</w:t>
            </w:r>
          </w:p>
        </w:tc>
        <w:tc>
          <w:tcPr>
            <w:tcW w:w="1979" w:type="dxa"/>
            <w:tcBorders>
              <w:top w:val="single" w:sz="8" w:space="0" w:color="000000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2</w:t>
            </w:r>
            <w:r>
              <w:t>27 (23.9)</w:t>
            </w:r>
          </w:p>
        </w:tc>
        <w:tc>
          <w:tcPr>
            <w:tcW w:w="1425" w:type="dxa"/>
            <w:tcBorders>
              <w:top w:val="single" w:sz="8" w:space="0" w:color="000000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—</w:t>
            </w:r>
          </w:p>
        </w:tc>
      </w:tr>
      <w:tr w:rsidR="00C874AB" w:rsidTr="00C874AB">
        <w:trPr>
          <w:trHeight w:val="333"/>
        </w:trPr>
        <w:tc>
          <w:tcPr>
            <w:tcW w:w="2763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bookmarkStart w:id="1" w:name="_Hlk117753265"/>
            <w:bookmarkStart w:id="2" w:name="OLE_LINK1" w:colFirst="0" w:colLast="0"/>
            <w:r>
              <w:t>Imidacloprid</w:t>
            </w:r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612 (84.9)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48 (21.1)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  <w:tr w:rsidR="00C874AB">
        <w:trPr>
          <w:trHeight w:val="326"/>
        </w:trPr>
        <w:tc>
          <w:tcPr>
            <w:tcW w:w="2763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bookmarkStart w:id="3" w:name="_Hlk81687296"/>
            <w:r>
              <w:t>Acetamiprid</w:t>
            </w:r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539 (74.8)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147 (64.8)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  <w:bookmarkEnd w:id="3"/>
      <w:tr w:rsidR="00C874AB">
        <w:trPr>
          <w:trHeight w:val="311"/>
        </w:trPr>
        <w:tc>
          <w:tcPr>
            <w:tcW w:w="2763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t>Chlorothalonil</w:t>
            </w:r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648 (89.9)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27 (11.9)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  <w:tr w:rsidR="00C874AB">
        <w:trPr>
          <w:trHeight w:val="311"/>
        </w:trPr>
        <w:tc>
          <w:tcPr>
            <w:tcW w:w="2763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t>Carbendazim</w:t>
            </w:r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662 (91.8)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140 (61.7)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  <w:tr w:rsidR="00C874AB">
        <w:trPr>
          <w:trHeight w:val="350"/>
        </w:trPr>
        <w:tc>
          <w:tcPr>
            <w:tcW w:w="2763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t>Procymidone</w:t>
            </w:r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504 (69.9)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6 (2.6)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  <w:tr w:rsidR="00C874AB">
        <w:trPr>
          <w:trHeight w:val="341"/>
        </w:trPr>
        <w:tc>
          <w:tcPr>
            <w:tcW w:w="2763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t>Propamocarb hydrochloride</w:t>
            </w:r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537 (74.5)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4 (1.8)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  <w:tr w:rsidR="00C874AB">
        <w:trPr>
          <w:trHeight w:val="311"/>
        </w:trPr>
        <w:tc>
          <w:tcPr>
            <w:tcW w:w="2763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t>Streptomycin</w:t>
            </w:r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505 (70.0)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15 (6.6)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  <w:tr w:rsidR="00C874AB">
        <w:trPr>
          <w:trHeight w:val="311"/>
        </w:trPr>
        <w:tc>
          <w:tcPr>
            <w:tcW w:w="2763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proofErr w:type="spellStart"/>
            <w:r>
              <w:t>Avermectin</w:t>
            </w:r>
            <w:proofErr w:type="spellEnd"/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666 (92.4)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51 (22.5)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  <w:tr w:rsidR="00C874AB">
        <w:trPr>
          <w:trHeight w:val="311"/>
        </w:trPr>
        <w:tc>
          <w:tcPr>
            <w:tcW w:w="2763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bookmarkStart w:id="4" w:name="_Hlk117753436"/>
            <w:bookmarkEnd w:id="1"/>
            <w:r>
              <w:t>Paraquat</w:t>
            </w:r>
          </w:p>
        </w:tc>
        <w:tc>
          <w:tcPr>
            <w:tcW w:w="2570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217 (30.1)</w:t>
            </w:r>
          </w:p>
        </w:tc>
        <w:tc>
          <w:tcPr>
            <w:tcW w:w="1979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166 (73.1)</w:t>
            </w:r>
          </w:p>
        </w:tc>
        <w:tc>
          <w:tcPr>
            <w:tcW w:w="1425" w:type="dxa"/>
            <w:tcBorders>
              <w:top w:val="nil"/>
              <w:bottom w:val="nil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  <w:tr w:rsidR="00C874AB">
        <w:trPr>
          <w:trHeight w:val="330"/>
        </w:trPr>
        <w:tc>
          <w:tcPr>
            <w:tcW w:w="2763" w:type="dxa"/>
            <w:tcBorders>
              <w:top w:val="nil"/>
              <w:bottom w:val="single" w:sz="8" w:space="0" w:color="auto"/>
            </w:tcBorders>
          </w:tcPr>
          <w:p w:rsidR="00C874AB" w:rsidRDefault="00C874AB" w:rsidP="00C874AB">
            <w:pPr>
              <w:spacing w:line="240" w:lineRule="auto"/>
            </w:pPr>
            <w:r>
              <w:t>Glyphosate</w:t>
            </w:r>
          </w:p>
        </w:tc>
        <w:tc>
          <w:tcPr>
            <w:tcW w:w="2570" w:type="dxa"/>
            <w:tcBorders>
              <w:top w:val="nil"/>
              <w:bottom w:val="single" w:sz="8" w:space="0" w:color="auto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97 (13.5)</w:t>
            </w:r>
          </w:p>
        </w:tc>
        <w:tc>
          <w:tcPr>
            <w:tcW w:w="1979" w:type="dxa"/>
            <w:tcBorders>
              <w:top w:val="nil"/>
              <w:bottom w:val="single" w:sz="8" w:space="0" w:color="auto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121 (53.3)</w:t>
            </w:r>
          </w:p>
        </w:tc>
        <w:tc>
          <w:tcPr>
            <w:tcW w:w="1425" w:type="dxa"/>
            <w:tcBorders>
              <w:top w:val="nil"/>
              <w:bottom w:val="single" w:sz="8" w:space="0" w:color="auto"/>
            </w:tcBorders>
          </w:tcPr>
          <w:p w:rsidR="00C874AB" w:rsidRDefault="00C874AB" w:rsidP="00C874AB">
            <w:pPr>
              <w:spacing w:line="240" w:lineRule="auto"/>
            </w:pPr>
            <w:r>
              <w:rPr>
                <w:rFonts w:hint="eastAsia"/>
              </w:rPr>
              <w:t>&lt;</w:t>
            </w:r>
            <w:r>
              <w:t>0.001</w:t>
            </w:r>
            <w:r>
              <w:rPr>
                <w:rFonts w:hint="eastAsia"/>
              </w:rPr>
              <w:t xml:space="preserve"> </w:t>
            </w:r>
            <w:r>
              <w:rPr>
                <w:vertAlign w:val="superscript"/>
              </w:rPr>
              <w:t>*</w:t>
            </w:r>
          </w:p>
        </w:tc>
      </w:tr>
    </w:tbl>
    <w:bookmarkEnd w:id="2"/>
    <w:bookmarkEnd w:id="4"/>
    <w:p w:rsidR="004F0FEB" w:rsidRDefault="00F503D3">
      <w:r>
        <w:rPr>
          <w:rFonts w:hint="eastAsia"/>
        </w:rPr>
        <w:t>[Note</w:t>
      </w:r>
      <w:r>
        <w:t>]</w:t>
      </w:r>
      <w:r>
        <w:rPr>
          <w:rFonts w:hint="eastAsia"/>
          <w:vertAlign w:val="superscript"/>
        </w:rPr>
        <w:t>*</w:t>
      </w:r>
      <w:r>
        <w:rPr>
          <w:rFonts w:hint="eastAsia"/>
        </w:rPr>
        <w:t xml:space="preserve">, </w:t>
      </w:r>
      <w:r>
        <w:rPr>
          <w:rFonts w:hint="eastAsia"/>
          <w:i/>
        </w:rPr>
        <w:t xml:space="preserve">p </w:t>
      </w:r>
      <w:r>
        <w:t>&lt;</w:t>
      </w:r>
      <w:r>
        <w:rPr>
          <w:rFonts w:hint="eastAsia"/>
        </w:rPr>
        <w:t xml:space="preserve"> </w:t>
      </w:r>
      <w:r>
        <w:t>0.05</w:t>
      </w:r>
      <w:r>
        <w:rPr>
          <w:rFonts w:hint="eastAsia"/>
        </w:rPr>
        <w:t>.</w:t>
      </w:r>
    </w:p>
    <w:p w:rsidR="004F0FEB" w:rsidRDefault="004F0FEB">
      <w:bookmarkStart w:id="5" w:name="_GoBack"/>
      <w:bookmarkEnd w:id="5"/>
    </w:p>
    <w:sectPr w:rsidR="004F0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551" w:rsidRDefault="00DB1551">
      <w:pPr>
        <w:spacing w:line="240" w:lineRule="auto"/>
      </w:pPr>
      <w:r>
        <w:separator/>
      </w:r>
    </w:p>
  </w:endnote>
  <w:endnote w:type="continuationSeparator" w:id="0">
    <w:p w:rsidR="00DB1551" w:rsidRDefault="00DB15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551" w:rsidRDefault="00DB1551">
      <w:r>
        <w:separator/>
      </w:r>
    </w:p>
  </w:footnote>
  <w:footnote w:type="continuationSeparator" w:id="0">
    <w:p w:rsidR="00DB1551" w:rsidRDefault="00DB1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I1YjA0OGI0NTgxZDVkNDRiOTdkZmU0ZTkyNTY1ZDEifQ=="/>
  </w:docVars>
  <w:rsids>
    <w:rsidRoot w:val="73682D76"/>
    <w:rsid w:val="004F0FEB"/>
    <w:rsid w:val="006E466B"/>
    <w:rsid w:val="00A02EF5"/>
    <w:rsid w:val="00C874AB"/>
    <w:rsid w:val="00DB1551"/>
    <w:rsid w:val="00F503D3"/>
    <w:rsid w:val="11E152F9"/>
    <w:rsid w:val="1C1461AC"/>
    <w:rsid w:val="26897A7F"/>
    <w:rsid w:val="29086F52"/>
    <w:rsid w:val="2A2C5816"/>
    <w:rsid w:val="33B40EBC"/>
    <w:rsid w:val="34534659"/>
    <w:rsid w:val="4B9D30D2"/>
    <w:rsid w:val="5153495F"/>
    <w:rsid w:val="5BDB5C7C"/>
    <w:rsid w:val="5D7C348F"/>
    <w:rsid w:val="5F214EA0"/>
    <w:rsid w:val="623C2A72"/>
    <w:rsid w:val="6A3F044D"/>
    <w:rsid w:val="71EF3DD8"/>
    <w:rsid w:val="73682D76"/>
    <w:rsid w:val="770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472829"/>
  <w15:docId w15:val="{4D492B81-3814-401E-BF9D-62EA8DAF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line="360" w:lineRule="auto"/>
      <w:jc w:val="both"/>
    </w:pPr>
    <w:rPr>
      <w:rFonts w:ascii="Times New Roman" w:eastAsia="宋体" w:hAnsi="Times New Roman" w:cs="Times New Roman"/>
      <w:color w:val="000000" w:themeColor="text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874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C874AB"/>
    <w:rPr>
      <w:rFonts w:ascii="Times New Roman" w:eastAsia="宋体" w:hAnsi="Times New Roman" w:cs="Times New Roman"/>
      <w:color w:val="000000" w:themeColor="text1"/>
      <w:sz w:val="18"/>
      <w:szCs w:val="18"/>
    </w:rPr>
  </w:style>
  <w:style w:type="paragraph" w:styleId="a6">
    <w:name w:val="footer"/>
    <w:basedOn w:val="a"/>
    <w:link w:val="a7"/>
    <w:rsid w:val="00C874A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C874AB"/>
    <w:rPr>
      <w:rFonts w:ascii="Times New Roman" w:eastAsia="宋体" w:hAnsi="Times New Roman" w:cs="Times New Roman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聋子</dc:creator>
  <cp:lastModifiedBy>webuser</cp:lastModifiedBy>
  <cp:revision>4</cp:revision>
  <dcterms:created xsi:type="dcterms:W3CDTF">2022-10-26T09:40:00Z</dcterms:created>
  <dcterms:modified xsi:type="dcterms:W3CDTF">2022-10-27T03:06:00Z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FAE4305A5B27405398D70B2AFC235566</vt:lpwstr>
  </property>
</Properties>
</file>