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120" w:before="240" w:lineRule="auto"/>
        <w:jc w:val="center"/>
        <w:rPr>
          <w:i w:val="1"/>
          <w:color w:val="000000"/>
          <w:sz w:val="32"/>
          <w:szCs w:val="32"/>
        </w:rPr>
      </w:pPr>
      <w:r w:rsidDel="00000000" w:rsidR="00000000" w:rsidRPr="00000000">
        <w:rPr>
          <w:b w:val="1"/>
          <w:i w:val="1"/>
          <w:color w:val="000000"/>
          <w:sz w:val="32"/>
          <w:szCs w:val="32"/>
          <w:rtl w:val="0"/>
        </w:rPr>
        <w:t xml:space="preserve">Supplementary Material</w:t>
      </w:r>
      <w:r w:rsidDel="00000000" w:rsidR="00000000" w:rsidRPr="00000000">
        <w:rPr>
          <w:rtl w:val="0"/>
        </w:rPr>
      </w:r>
    </w:p>
    <w:p w:rsidR="00000000" w:rsidDel="00000000" w:rsidP="00000000" w:rsidRDefault="00000000" w:rsidRPr="00000000" w14:paraId="00000002">
      <w:pPr>
        <w:pStyle w:val="Title"/>
        <w:rPr/>
      </w:pPr>
      <w:r w:rsidDel="00000000" w:rsidR="00000000" w:rsidRPr="00000000">
        <w:rPr>
          <w:rtl w:val="0"/>
        </w:rPr>
        <w:t xml:space="preserve">Applying the Estimand and Target Trial frameworks to external control analyses using observational data: a case study in the solid tumor setting</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rtl w:val="0"/>
        </w:rPr>
        <w:t xml:space="preserve">Letizia Polito</w:t>
      </w:r>
      <w:r w:rsidDel="00000000" w:rsidR="00000000" w:rsidRPr="00000000">
        <w:rPr>
          <w:b w:val="1"/>
          <w:vertAlign w:val="superscript"/>
          <w:rtl w:val="0"/>
        </w:rPr>
        <w:t xml:space="preserve">*†</w:t>
      </w:r>
      <w:r w:rsidDel="00000000" w:rsidR="00000000" w:rsidRPr="00000000">
        <w:rPr>
          <w:b w:val="1"/>
          <w:rtl w:val="0"/>
        </w:rPr>
        <w:t xml:space="preserve">, Qixing Liang</w:t>
      </w:r>
      <w:r w:rsidDel="00000000" w:rsidR="00000000" w:rsidRPr="00000000">
        <w:rPr>
          <w:b w:val="1"/>
          <w:vertAlign w:val="superscript"/>
          <w:rtl w:val="0"/>
        </w:rPr>
        <w:t xml:space="preserve">†</w:t>
      </w:r>
      <w:r w:rsidDel="00000000" w:rsidR="00000000" w:rsidRPr="00000000">
        <w:rPr>
          <w:b w:val="1"/>
          <w:rtl w:val="0"/>
        </w:rPr>
        <w:t xml:space="preserve">, Navdeep Pal, Philani Mpofu, Ahmed Sawas, Olivier Humblet, Kaspar Rufibach, Dominik Heinzmann</w:t>
      </w:r>
      <w:r w:rsidDel="00000000" w:rsidR="00000000" w:rsidRPr="00000000">
        <w:rPr>
          <w:rtl w:val="0"/>
        </w:rPr>
      </w:r>
    </w:p>
    <w:p w:rsidR="00000000" w:rsidDel="00000000" w:rsidP="00000000" w:rsidRDefault="00000000" w:rsidRPr="00000000" w14:paraId="00000004">
      <w:pPr>
        <w:spacing w:after="0" w:before="240" w:lineRule="auto"/>
        <w:rPr/>
      </w:pPr>
      <w:r w:rsidDel="00000000" w:rsidR="00000000" w:rsidRPr="00000000">
        <w:rPr>
          <w:b w:val="1"/>
          <w:rtl w:val="0"/>
        </w:rPr>
        <w:t xml:space="preserve">* Correspondence: </w:t>
      </w:r>
      <w:r w:rsidDel="00000000" w:rsidR="00000000" w:rsidRPr="00000000">
        <w:rPr>
          <w:rtl w:val="0"/>
        </w:rPr>
        <w:t xml:space="preserve">Corresponding Author: </w:t>
      </w:r>
      <w:hyperlink r:id="rId6">
        <w:r w:rsidDel="00000000" w:rsidR="00000000" w:rsidRPr="00000000">
          <w:rPr>
            <w:color w:val="1155cc"/>
            <w:u w:val="single"/>
            <w:rtl w:val="0"/>
          </w:rPr>
          <w:t xml:space="preserve">letizia.polito@roche.com</w:t>
        </w:r>
      </w:hyperlink>
      <w:r w:rsidDel="00000000" w:rsidR="00000000" w:rsidRPr="00000000">
        <w:rPr>
          <w:rtl w:val="0"/>
        </w:rPr>
      </w:r>
    </w:p>
    <w:p w:rsidR="00000000" w:rsidDel="00000000" w:rsidP="00000000" w:rsidRDefault="00000000" w:rsidRPr="00000000" w14:paraId="00000005">
      <w:pPr>
        <w:spacing w:after="0" w:before="240" w:lineRule="auto"/>
        <w:rPr/>
      </w:pPr>
      <w:r w:rsidDel="00000000" w:rsidR="00000000" w:rsidRPr="00000000">
        <w:rPr>
          <w:rtl w:val="0"/>
        </w:rPr>
        <w:t xml:space="preserve">†These authors contributed equally to this work and share first authorship</w:t>
      </w:r>
    </w:p>
    <w:p w:rsidR="00000000" w:rsidDel="00000000" w:rsidP="00000000" w:rsidRDefault="00000000" w:rsidRPr="00000000" w14:paraId="00000006">
      <w:pPr>
        <w:pStyle w:val="Heading1"/>
        <w:numPr>
          <w:ilvl w:val="0"/>
          <w:numId w:val="15"/>
        </w:numPr>
        <w:ind w:left="567" w:hanging="567"/>
        <w:rPr/>
      </w:pPr>
      <w:r w:rsidDel="00000000" w:rsidR="00000000" w:rsidRPr="00000000">
        <w:rPr>
          <w:rtl w:val="0"/>
        </w:rPr>
        <w:t xml:space="preserve">Supplementary Figures and Tables</w:t>
      </w:r>
    </w:p>
    <w:p w:rsidR="00000000" w:rsidDel="00000000" w:rsidP="00000000" w:rsidRDefault="00000000" w:rsidRPr="00000000" w14:paraId="00000007">
      <w:pPr>
        <w:pStyle w:val="Heading2"/>
        <w:numPr>
          <w:ilvl w:val="1"/>
          <w:numId w:val="15"/>
        </w:numPr>
        <w:ind w:left="567" w:hanging="567"/>
        <w:rPr/>
      </w:pPr>
      <w:r w:rsidDel="00000000" w:rsidR="00000000" w:rsidRPr="00000000">
        <w:rPr>
          <w:rtl w:val="0"/>
        </w:rPr>
        <w:t xml:space="preserve">Supplementary Figures</w:t>
      </w:r>
    </w:p>
    <w:p w:rsidR="00000000" w:rsidDel="00000000" w:rsidP="00000000" w:rsidRDefault="00000000" w:rsidRPr="00000000" w14:paraId="00000008">
      <w:pPr>
        <w:spacing w:after="0" w:before="0" w:lineRule="auto"/>
        <w:rPr>
          <w:rFonts w:ascii="Arial" w:cs="Arial" w:eastAsia="Arial" w:hAnsi="Arial"/>
          <w:color w:val="0000ff"/>
          <w:sz w:val="22"/>
          <w:szCs w:val="22"/>
        </w:rPr>
      </w:pPr>
      <w:r w:rsidDel="00000000" w:rsidR="00000000" w:rsidRPr="00000000">
        <w:rPr>
          <w:rFonts w:ascii="Arial" w:cs="Arial" w:eastAsia="Arial" w:hAnsi="Arial"/>
          <w:sz w:val="22"/>
          <w:szCs w:val="22"/>
        </w:rPr>
        <w:drawing>
          <wp:inline distB="114300" distT="114300" distL="114300" distR="114300">
            <wp:extent cx="5943600" cy="3961433"/>
            <wp:effectExtent b="0" l="0" r="0" t="0"/>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3961433"/>
                    </a:xfrm>
                    <a:prstGeom prst="rect"/>
                    <a:ln/>
                  </pic:spPr>
                </pic:pic>
              </a:graphicData>
            </a:graphic>
          </wp:inline>
        </w:drawing>
      </w:r>
      <w:r w:rsidDel="00000000" w:rsidR="00000000" w:rsidRPr="00000000">
        <w:rPr>
          <w:b w:val="1"/>
          <w:rtl w:val="0"/>
        </w:rPr>
        <w:t xml:space="preserve">Supplementary Figure 1. </w:t>
      </w:r>
      <w:r w:rsidDel="00000000" w:rsidR="00000000" w:rsidRPr="00000000">
        <w:rPr>
          <w:rtl w:val="0"/>
        </w:rPr>
        <w:t xml:space="preserve">Kaplan-Meier plots showing the comparison of overall survival between trials were considered separately.</w:t>
      </w:r>
      <w:r w:rsidDel="00000000" w:rsidR="00000000" w:rsidRPr="00000000">
        <w:rPr>
          <w:rtl w:val="0"/>
        </w:rPr>
      </w:r>
    </w:p>
    <w:p w:rsidR="00000000" w:rsidDel="00000000" w:rsidP="00000000" w:rsidRDefault="00000000" w:rsidRPr="00000000" w14:paraId="00000009">
      <w:pPr>
        <w:spacing w:before="240" w:line="276" w:lineRule="auto"/>
        <w:ind w:left="-720" w:firstLine="720"/>
        <w:jc w:val="center"/>
        <w:rPr>
          <w:rFonts w:ascii="Arial" w:cs="Arial" w:eastAsia="Arial" w:hAnsi="Arial"/>
          <w:color w:val="0000ff"/>
          <w:sz w:val="22"/>
          <w:szCs w:val="22"/>
        </w:rPr>
      </w:pPr>
      <w:r w:rsidDel="00000000" w:rsidR="00000000" w:rsidRPr="00000000">
        <w:rPr>
          <w:rFonts w:ascii="Arial" w:cs="Arial" w:eastAsia="Arial" w:hAnsi="Arial"/>
          <w:color w:val="0000ff"/>
          <w:sz w:val="22"/>
          <w:szCs w:val="22"/>
        </w:rPr>
        <w:drawing>
          <wp:inline distB="114300" distT="114300" distL="114300" distR="114300">
            <wp:extent cx="5523961" cy="4143375"/>
            <wp:effectExtent b="0" l="0" r="0" t="0"/>
            <wp:docPr id="3" name="image5.jpg"/>
            <a:graphic>
              <a:graphicData uri="http://schemas.openxmlformats.org/drawingml/2006/picture">
                <pic:pic>
                  <pic:nvPicPr>
                    <pic:cNvPr id="0" name="image5.jpg"/>
                    <pic:cNvPicPr preferRelativeResize="0"/>
                  </pic:nvPicPr>
                  <pic:blipFill>
                    <a:blip r:embed="rId8"/>
                    <a:srcRect b="0" l="0" r="11206" t="0"/>
                    <a:stretch>
                      <a:fillRect/>
                    </a:stretch>
                  </pic:blipFill>
                  <pic:spPr>
                    <a:xfrm>
                      <a:off x="0" y="0"/>
                      <a:ext cx="5523961" cy="414337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keepNext w:val="1"/>
        <w:rPr/>
      </w:pPr>
      <w:r w:rsidDel="00000000" w:rsidR="00000000" w:rsidRPr="00000000">
        <w:rPr>
          <w:b w:val="1"/>
          <w:rtl w:val="0"/>
        </w:rPr>
        <w:t xml:space="preserve">Supplementary Figure 2.</w:t>
      </w:r>
      <w:r w:rsidDel="00000000" w:rsidR="00000000" w:rsidRPr="00000000">
        <w:rPr>
          <w:rtl w:val="0"/>
        </w:rPr>
        <w:t xml:space="preserve">  </w:t>
      </w:r>
      <w:r w:rsidDel="00000000" w:rsidR="00000000" w:rsidRPr="00000000">
        <w:rPr>
          <w:rtl w:val="0"/>
        </w:rPr>
        <w:t xml:space="preserve">Propensity score distribution used to compute IPTW-ATT weights.</w:t>
      </w:r>
      <w:r w:rsidDel="00000000" w:rsidR="00000000" w:rsidRPr="00000000">
        <w:rPr>
          <w:rtl w:val="0"/>
        </w:rPr>
        <w:t xml:space="preserve"> OC = observational comparator. RCT = randomized clinical trial (pooled).</w:t>
      </w:r>
      <w:r w:rsidDel="00000000" w:rsidR="00000000" w:rsidRPr="00000000">
        <w:rPr>
          <w:rtl w:val="0"/>
        </w:rPr>
      </w:r>
    </w:p>
    <w:p w:rsidR="00000000" w:rsidDel="00000000" w:rsidP="00000000" w:rsidRDefault="00000000" w:rsidRPr="00000000" w14:paraId="0000000B">
      <w:pPr>
        <w:pStyle w:val="Heading2"/>
        <w:ind w:left="0" w:firstLine="0"/>
        <w:rPr/>
      </w:pPr>
      <w:bookmarkStart w:colFirst="0" w:colLast="0" w:name="_e51u2qj7eb8" w:id="0"/>
      <w:bookmarkEnd w:id="0"/>
      <w:r w:rsidDel="00000000" w:rsidR="00000000" w:rsidRPr="00000000">
        <w:br w:type="page"/>
      </w:r>
      <w:r w:rsidDel="00000000" w:rsidR="00000000" w:rsidRPr="00000000">
        <w:rPr>
          <w:rtl w:val="0"/>
        </w:rPr>
      </w:r>
    </w:p>
    <w:p w:rsidR="00000000" w:rsidDel="00000000" w:rsidP="00000000" w:rsidRDefault="00000000" w:rsidRPr="00000000" w14:paraId="0000000C">
      <w:pPr>
        <w:pStyle w:val="Heading2"/>
        <w:numPr>
          <w:ilvl w:val="1"/>
          <w:numId w:val="15"/>
        </w:numPr>
        <w:ind w:left="567" w:hanging="567"/>
        <w:rPr/>
      </w:pPr>
      <w:bookmarkStart w:colFirst="0" w:colLast="0" w:name="_gjdgxs" w:id="1"/>
      <w:bookmarkEnd w:id="1"/>
      <w:r w:rsidDel="00000000" w:rsidR="00000000" w:rsidRPr="00000000">
        <w:rPr>
          <w:rtl w:val="0"/>
        </w:rPr>
        <w:t xml:space="preserve">Supplementary Tables</w:t>
      </w:r>
    </w:p>
    <w:p w:rsidR="00000000" w:rsidDel="00000000" w:rsidP="00000000" w:rsidRDefault="00000000" w:rsidRPr="00000000" w14:paraId="0000000D">
      <w:pPr>
        <w:rPr>
          <w:rFonts w:ascii="Arial" w:cs="Arial" w:eastAsia="Arial" w:hAnsi="Arial"/>
          <w:color w:val="666666"/>
        </w:rPr>
      </w:pPr>
      <w:r w:rsidDel="00000000" w:rsidR="00000000" w:rsidRPr="00000000">
        <w:rPr>
          <w:b w:val="1"/>
          <w:rtl w:val="0"/>
        </w:rPr>
        <w:t xml:space="preserve">Supplementary Table 1.</w:t>
      </w:r>
      <w:r w:rsidDel="00000000" w:rsidR="00000000" w:rsidRPr="00000000">
        <w:rPr>
          <w:rtl w:val="0"/>
        </w:rPr>
        <w:t xml:space="preserve"> Alignment of study time window between RCT and OC arms.</w:t>
      </w:r>
      <w:r w:rsidDel="00000000" w:rsidR="00000000" w:rsidRPr="00000000">
        <w:rPr>
          <w:rtl w:val="0"/>
        </w:rPr>
      </w:r>
    </w:p>
    <w:tbl>
      <w:tblPr>
        <w:tblStyle w:val="Table1"/>
        <w:tblW w:w="96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95"/>
        <w:gridCol w:w="2145"/>
        <w:gridCol w:w="2955"/>
        <w:gridCol w:w="2535"/>
        <w:tblGridChange w:id="0">
          <w:tblGrid>
            <w:gridCol w:w="1995"/>
            <w:gridCol w:w="2145"/>
            <w:gridCol w:w="2955"/>
            <w:gridCol w:w="2535"/>
          </w:tblGrid>
        </w:tblGridChange>
      </w:tblGrid>
      <w:tr>
        <w:trPr>
          <w:cantSplit w:val="0"/>
          <w:trHeight w:val="20" w:hRule="atLeast"/>
          <w:tblHeader w:val="0"/>
        </w:trPr>
        <w:tc>
          <w:tcPr>
            <w:shd w:fill="c9daf8" w:val="clear"/>
            <w:tcMar>
              <w:top w:w="100.0" w:type="dxa"/>
              <w:left w:w="100.0" w:type="dxa"/>
              <w:bottom w:w="100.0" w:type="dxa"/>
              <w:right w:w="100.0" w:type="dxa"/>
            </w:tcMar>
          </w:tcPr>
          <w:p w:rsidR="00000000" w:rsidDel="00000000" w:rsidP="00000000" w:rsidRDefault="00000000" w:rsidRPr="00000000" w14:paraId="0000000E">
            <w:pPr>
              <w:widowControl w:val="0"/>
              <w:spacing w:after="0" w:before="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Study</w:t>
            </w:r>
          </w:p>
        </w:tc>
        <w:tc>
          <w:tcPr>
            <w:shd w:fill="c9daf8" w:val="clear"/>
            <w:tcMar>
              <w:top w:w="100.0" w:type="dxa"/>
              <w:left w:w="100.0" w:type="dxa"/>
              <w:bottom w:w="100.0" w:type="dxa"/>
              <w:right w:w="100.0" w:type="dxa"/>
            </w:tcMar>
          </w:tcPr>
          <w:p w:rsidR="00000000" w:rsidDel="00000000" w:rsidP="00000000" w:rsidRDefault="00000000" w:rsidRPr="00000000" w14:paraId="0000000F">
            <w:pPr>
              <w:widowControl w:val="0"/>
              <w:spacing w:after="0" w:before="0" w:lineRule="auto"/>
              <w:rPr>
                <w:rFonts w:ascii="Arial" w:cs="Arial" w:eastAsia="Arial" w:hAnsi="Arial"/>
                <w:b w:val="1"/>
                <w:sz w:val="20"/>
                <w:szCs w:val="20"/>
                <w:vertAlign w:val="superscript"/>
              </w:rPr>
            </w:pPr>
            <w:r w:rsidDel="00000000" w:rsidR="00000000" w:rsidRPr="00000000">
              <w:rPr>
                <w:rFonts w:ascii="Arial" w:cs="Arial" w:eastAsia="Arial" w:hAnsi="Arial"/>
                <w:b w:val="1"/>
                <w:sz w:val="20"/>
                <w:szCs w:val="20"/>
                <w:rtl w:val="0"/>
              </w:rPr>
              <w:t xml:space="preserve">Enrollment start date</w:t>
            </w:r>
            <w:r w:rsidDel="00000000" w:rsidR="00000000" w:rsidRPr="00000000">
              <w:rPr>
                <w:rtl w:val="0"/>
              </w:rPr>
            </w:r>
          </w:p>
        </w:tc>
        <w:tc>
          <w:tcPr>
            <w:shd w:fill="c9daf8" w:val="clear"/>
            <w:tcMar>
              <w:top w:w="100.0" w:type="dxa"/>
              <w:left w:w="100.0" w:type="dxa"/>
              <w:bottom w:w="100.0" w:type="dxa"/>
              <w:right w:w="100.0" w:type="dxa"/>
            </w:tcMar>
          </w:tcPr>
          <w:p w:rsidR="00000000" w:rsidDel="00000000" w:rsidP="00000000" w:rsidRDefault="00000000" w:rsidRPr="00000000" w14:paraId="00000010">
            <w:pPr>
              <w:widowControl w:val="0"/>
              <w:spacing w:after="0" w:before="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Enrollment end date</w:t>
            </w:r>
          </w:p>
        </w:tc>
        <w:tc>
          <w:tcPr>
            <w:tcBorders>
              <w:right w:color="000000" w:space="0" w:sz="8" w:val="single"/>
            </w:tcBorders>
            <w:shd w:fill="c9daf8" w:val="clear"/>
            <w:tcMar>
              <w:top w:w="100.0" w:type="dxa"/>
              <w:left w:w="100.0" w:type="dxa"/>
              <w:bottom w:w="100.0" w:type="dxa"/>
              <w:right w:w="100.0" w:type="dxa"/>
            </w:tcMar>
          </w:tcPr>
          <w:p w:rsidR="00000000" w:rsidDel="00000000" w:rsidP="00000000" w:rsidRDefault="00000000" w:rsidRPr="00000000" w14:paraId="00000011">
            <w:pPr>
              <w:widowControl w:val="0"/>
              <w:spacing w:after="0" w:before="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Primary completion date</w:t>
            </w:r>
          </w:p>
        </w:tc>
      </w:tr>
      <w:tr>
        <w:trPr>
          <w:cantSplit w:val="0"/>
          <w:trHeight w:val="20" w:hRule="atLeast"/>
          <w:tblHeader w:val="0"/>
        </w:trPr>
        <w:tc>
          <w:tcPr>
            <w:tcMar>
              <w:top w:w="100.0" w:type="dxa"/>
              <w:left w:w="100.0" w:type="dxa"/>
              <w:bottom w:w="100.0" w:type="dxa"/>
              <w:right w:w="100.0" w:type="dxa"/>
            </w:tcMar>
          </w:tcPr>
          <w:p w:rsidR="00000000" w:rsidDel="00000000" w:rsidP="00000000" w:rsidRDefault="00000000" w:rsidRPr="00000000" w14:paraId="00000012">
            <w:pPr>
              <w:widowControl w:val="0"/>
              <w:spacing w:after="0" w:before="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3">
            <w:pPr>
              <w:widowControl w:val="0"/>
              <w:spacing w:after="0" w:before="0" w:lineRule="auto"/>
              <w:rPr>
                <w:rFonts w:ascii="Arial" w:cs="Arial" w:eastAsia="Arial" w:hAnsi="Arial"/>
                <w:strike w:val="1"/>
                <w:sz w:val="20"/>
                <w:szCs w:val="20"/>
              </w:rPr>
            </w:pPr>
            <w:r w:rsidDel="00000000" w:rsidR="00000000" w:rsidRPr="00000000">
              <w:rPr>
                <w:rFonts w:ascii="Arial" w:cs="Arial" w:eastAsia="Arial" w:hAnsi="Arial"/>
                <w:sz w:val="20"/>
                <w:szCs w:val="20"/>
                <w:rtl w:val="0"/>
              </w:rPr>
              <w:t xml:space="preserve">IMpower130</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14">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Apr 16, 2015</w:t>
            </w:r>
          </w:p>
        </w:tc>
        <w:tc>
          <w:tcPr>
            <w:tcMar>
              <w:top w:w="100.0" w:type="dxa"/>
              <w:left w:w="100.0" w:type="dxa"/>
              <w:bottom w:w="100.0" w:type="dxa"/>
              <w:right w:w="100.0" w:type="dxa"/>
            </w:tcMar>
          </w:tcPr>
          <w:p w:rsidR="00000000" w:rsidDel="00000000" w:rsidP="00000000" w:rsidRDefault="00000000" w:rsidRPr="00000000" w14:paraId="00000015">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Feb 13, 2017</w:t>
            </w:r>
          </w:p>
        </w:tc>
        <w:tc>
          <w:tcPr>
            <w:tcBorders>
              <w:right w:color="000000" w:space="0" w:sz="8" w:val="single"/>
            </w:tcBorders>
            <w:tcMar>
              <w:top w:w="100.0" w:type="dxa"/>
              <w:left w:w="100.0" w:type="dxa"/>
              <w:bottom w:w="100.0" w:type="dxa"/>
              <w:right w:w="100.0" w:type="dxa"/>
            </w:tcMar>
          </w:tcPr>
          <w:p w:rsidR="00000000" w:rsidDel="00000000" w:rsidP="00000000" w:rsidRDefault="00000000" w:rsidRPr="00000000" w14:paraId="00000016">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Mar 15, 2018</w:t>
            </w:r>
          </w:p>
        </w:tc>
      </w:tr>
      <w:tr>
        <w:trPr>
          <w:cantSplit w:val="0"/>
          <w:trHeight w:val="20" w:hRule="atLeast"/>
          <w:tblHeader w:val="0"/>
        </w:trPr>
        <w:tc>
          <w:tcPr>
            <w:tcMar>
              <w:top w:w="100.0" w:type="dxa"/>
              <w:left w:w="100.0" w:type="dxa"/>
              <w:bottom w:w="100.0" w:type="dxa"/>
              <w:right w:w="100.0" w:type="dxa"/>
            </w:tcMar>
          </w:tcPr>
          <w:p w:rsidR="00000000" w:rsidDel="00000000" w:rsidP="00000000" w:rsidRDefault="00000000" w:rsidRPr="00000000" w14:paraId="00000017">
            <w:pPr>
              <w:widowControl w:val="0"/>
              <w:spacing w:after="0" w:before="0" w:lineRule="auto"/>
              <w:rPr>
                <w:rFonts w:ascii="Arial" w:cs="Arial" w:eastAsia="Arial" w:hAnsi="Arial"/>
                <w:strike w:val="1"/>
                <w:sz w:val="20"/>
                <w:szCs w:val="20"/>
              </w:rPr>
            </w:pPr>
            <w:r w:rsidDel="00000000" w:rsidR="00000000" w:rsidRPr="00000000">
              <w:rPr>
                <w:rFonts w:ascii="Arial" w:cs="Arial" w:eastAsia="Arial" w:hAnsi="Arial"/>
                <w:sz w:val="20"/>
                <w:szCs w:val="20"/>
                <w:rtl w:val="0"/>
              </w:rPr>
              <w:t xml:space="preserve">IMpower131</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18">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Jun 11, 2015</w:t>
            </w:r>
          </w:p>
        </w:tc>
        <w:tc>
          <w:tcPr>
            <w:tcMar>
              <w:top w:w="100.0" w:type="dxa"/>
              <w:left w:w="100.0" w:type="dxa"/>
              <w:bottom w:w="100.0" w:type="dxa"/>
              <w:right w:w="100.0" w:type="dxa"/>
            </w:tcMar>
          </w:tcPr>
          <w:p w:rsidR="00000000" w:rsidDel="00000000" w:rsidP="00000000" w:rsidRDefault="00000000" w:rsidRPr="00000000" w14:paraId="00000019">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Mar 28, 2017</w:t>
            </w:r>
          </w:p>
        </w:tc>
        <w:tc>
          <w:tcPr>
            <w:tcBorders>
              <w:right w:color="000000" w:space="0" w:sz="8" w:val="single"/>
            </w:tcBorders>
            <w:tcMar>
              <w:top w:w="100.0" w:type="dxa"/>
              <w:left w:w="100.0" w:type="dxa"/>
              <w:bottom w:w="100.0" w:type="dxa"/>
              <w:right w:w="100.0" w:type="dxa"/>
            </w:tcMar>
          </w:tcPr>
          <w:p w:rsidR="00000000" w:rsidDel="00000000" w:rsidP="00000000" w:rsidRDefault="00000000" w:rsidRPr="00000000" w14:paraId="0000001A">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Oct 3, 2018</w:t>
            </w:r>
          </w:p>
        </w:tc>
      </w:tr>
      <w:tr>
        <w:trPr>
          <w:cantSplit w:val="0"/>
          <w:trHeight w:val="20" w:hRule="atLeast"/>
          <w:tblHeader w:val="0"/>
        </w:trPr>
        <w:tc>
          <w:tcPr>
            <w:tcMar>
              <w:top w:w="100.0" w:type="dxa"/>
              <w:left w:w="100.0" w:type="dxa"/>
              <w:bottom w:w="100.0" w:type="dxa"/>
              <w:right w:w="100.0" w:type="dxa"/>
            </w:tcMar>
          </w:tcPr>
          <w:p w:rsidR="00000000" w:rsidDel="00000000" w:rsidP="00000000" w:rsidRDefault="00000000" w:rsidRPr="00000000" w14:paraId="0000001B">
            <w:pPr>
              <w:widowControl w:val="0"/>
              <w:spacing w:after="0" w:before="0" w:lineRule="auto"/>
              <w:rPr>
                <w:rFonts w:ascii="Arial" w:cs="Arial" w:eastAsia="Arial" w:hAnsi="Arial"/>
                <w:strike w:val="1"/>
                <w:sz w:val="20"/>
                <w:szCs w:val="20"/>
                <w:vertAlign w:val="superscript"/>
              </w:rPr>
            </w:pPr>
            <w:r w:rsidDel="00000000" w:rsidR="00000000" w:rsidRPr="00000000">
              <w:rPr>
                <w:rFonts w:ascii="Arial" w:cs="Arial" w:eastAsia="Arial" w:hAnsi="Arial"/>
                <w:sz w:val="20"/>
                <w:szCs w:val="20"/>
                <w:rtl w:val="0"/>
              </w:rPr>
              <w:t xml:space="preserve">IMpower132</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1C">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Apr 7, 2016</w:t>
            </w:r>
          </w:p>
        </w:tc>
        <w:tc>
          <w:tcPr>
            <w:tcMar>
              <w:top w:w="100.0" w:type="dxa"/>
              <w:left w:w="100.0" w:type="dxa"/>
              <w:bottom w:w="100.0" w:type="dxa"/>
              <w:right w:w="100.0" w:type="dxa"/>
            </w:tcMar>
          </w:tcPr>
          <w:p w:rsidR="00000000" w:rsidDel="00000000" w:rsidP="00000000" w:rsidRDefault="00000000" w:rsidRPr="00000000" w14:paraId="0000001D">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May 31, 2017</w:t>
            </w:r>
          </w:p>
        </w:tc>
        <w:tc>
          <w:tcPr>
            <w:tcBorders>
              <w:right w:color="000000" w:space="0" w:sz="8" w:val="single"/>
            </w:tcBorders>
            <w:tcMar>
              <w:top w:w="100.0" w:type="dxa"/>
              <w:left w:w="100.0" w:type="dxa"/>
              <w:bottom w:w="100.0" w:type="dxa"/>
              <w:right w:w="100.0" w:type="dxa"/>
            </w:tcMar>
          </w:tcPr>
          <w:p w:rsidR="00000000" w:rsidDel="00000000" w:rsidP="00000000" w:rsidRDefault="00000000" w:rsidRPr="00000000" w14:paraId="0000001E">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July 18, 2019</w:t>
            </w:r>
          </w:p>
        </w:tc>
      </w:tr>
      <w:tr>
        <w:trPr>
          <w:cantSplit w:val="0"/>
          <w:trHeight w:val="20" w:hRule="atLeast"/>
          <w:tblHeader w:val="0"/>
        </w:trPr>
        <w:tc>
          <w:tcPr>
            <w:tcMar>
              <w:top w:w="100.0" w:type="dxa"/>
              <w:left w:w="100.0" w:type="dxa"/>
              <w:bottom w:w="100.0" w:type="dxa"/>
              <w:right w:w="100.0" w:type="dxa"/>
            </w:tcMar>
          </w:tcPr>
          <w:p w:rsidR="00000000" w:rsidDel="00000000" w:rsidP="00000000" w:rsidRDefault="00000000" w:rsidRPr="00000000" w14:paraId="0000001F">
            <w:pPr>
              <w:widowControl w:val="0"/>
              <w:spacing w:after="0" w:before="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Pooled RCT arm</w:t>
            </w:r>
          </w:p>
        </w:tc>
        <w:tc>
          <w:tcPr>
            <w:tcMar>
              <w:top w:w="100.0" w:type="dxa"/>
              <w:left w:w="100.0" w:type="dxa"/>
              <w:bottom w:w="100.0" w:type="dxa"/>
              <w:right w:w="100.0" w:type="dxa"/>
            </w:tcMar>
          </w:tcPr>
          <w:p w:rsidR="00000000" w:rsidDel="00000000" w:rsidP="00000000" w:rsidRDefault="00000000" w:rsidRPr="00000000" w14:paraId="00000020">
            <w:pPr>
              <w:widowControl w:val="0"/>
              <w:spacing w:after="0" w:before="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Apr 16, 2015</w:t>
            </w:r>
          </w:p>
        </w:tc>
        <w:tc>
          <w:tcPr>
            <w:tcMar>
              <w:top w:w="100.0" w:type="dxa"/>
              <w:left w:w="100.0" w:type="dxa"/>
              <w:bottom w:w="100.0" w:type="dxa"/>
              <w:right w:w="100.0" w:type="dxa"/>
            </w:tcMar>
          </w:tcPr>
          <w:p w:rsidR="00000000" w:rsidDel="00000000" w:rsidP="00000000" w:rsidRDefault="00000000" w:rsidRPr="00000000" w14:paraId="00000021">
            <w:pPr>
              <w:widowControl w:val="0"/>
              <w:spacing w:after="0" w:before="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May 31, 2017</w:t>
            </w:r>
          </w:p>
        </w:tc>
        <w:tc>
          <w:tcPr>
            <w:tcBorders>
              <w:right w:color="000000" w:space="0" w:sz="8" w:val="single"/>
            </w:tcBorders>
            <w:tcMar>
              <w:top w:w="100.0" w:type="dxa"/>
              <w:left w:w="100.0" w:type="dxa"/>
              <w:bottom w:w="100.0" w:type="dxa"/>
              <w:right w:w="100.0" w:type="dxa"/>
            </w:tcMar>
          </w:tcPr>
          <w:p w:rsidR="00000000" w:rsidDel="00000000" w:rsidP="00000000" w:rsidRDefault="00000000" w:rsidRPr="00000000" w14:paraId="00000022">
            <w:pPr>
              <w:widowControl w:val="0"/>
              <w:spacing w:after="0" w:before="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July 18, 2019</w:t>
            </w:r>
          </w:p>
        </w:tc>
      </w:tr>
      <w:tr>
        <w:trPr>
          <w:cantSplit w:val="0"/>
          <w:trHeight w:val="20" w:hRule="atLeast"/>
          <w:tblHeader w:val="0"/>
        </w:trPr>
        <w:tc>
          <w:tcPr>
            <w:tcMar>
              <w:top w:w="100.0" w:type="dxa"/>
              <w:left w:w="100.0" w:type="dxa"/>
              <w:bottom w:w="100.0" w:type="dxa"/>
              <w:right w:w="100.0" w:type="dxa"/>
            </w:tcMar>
          </w:tcPr>
          <w:p w:rsidR="00000000" w:rsidDel="00000000" w:rsidP="00000000" w:rsidRDefault="00000000" w:rsidRPr="00000000" w14:paraId="00000023">
            <w:pPr>
              <w:widowControl w:val="0"/>
              <w:spacing w:after="0" w:before="0" w:lineRule="auto"/>
              <w:rPr>
                <w:rFonts w:ascii="Arial" w:cs="Arial" w:eastAsia="Arial" w:hAnsi="Arial"/>
                <w:b w:val="1"/>
                <w:sz w:val="20"/>
                <w:szCs w:val="20"/>
                <w:vertAlign w:val="superscript"/>
              </w:rPr>
            </w:pPr>
            <w:r w:rsidDel="00000000" w:rsidR="00000000" w:rsidRPr="00000000">
              <w:rPr>
                <w:rFonts w:ascii="Arial" w:cs="Arial" w:eastAsia="Arial" w:hAnsi="Arial"/>
                <w:b w:val="1"/>
                <w:sz w:val="20"/>
                <w:szCs w:val="20"/>
                <w:rtl w:val="0"/>
              </w:rPr>
              <w:t xml:space="preserve">OC arm </w:t>
            </w:r>
            <w:r w:rsidDel="00000000" w:rsidR="00000000" w:rsidRPr="00000000">
              <w:rPr>
                <w:rFonts w:ascii="Arial" w:cs="Arial" w:eastAsia="Arial" w:hAnsi="Arial"/>
                <w:b w:val="1"/>
                <w:sz w:val="20"/>
                <w:szCs w:val="20"/>
                <w:vertAlign w:val="superscript"/>
                <w:rtl w:val="0"/>
              </w:rPr>
              <w:t xml:space="preserve">a</w:t>
            </w:r>
          </w:p>
        </w:tc>
        <w:tc>
          <w:tcPr>
            <w:tcMar>
              <w:top w:w="100.0" w:type="dxa"/>
              <w:left w:w="100.0" w:type="dxa"/>
              <w:bottom w:w="100.0" w:type="dxa"/>
              <w:right w:w="100.0" w:type="dxa"/>
            </w:tcMar>
          </w:tcPr>
          <w:p w:rsidR="00000000" w:rsidDel="00000000" w:rsidP="00000000" w:rsidRDefault="00000000" w:rsidRPr="00000000" w14:paraId="00000024">
            <w:pPr>
              <w:widowControl w:val="0"/>
              <w:spacing w:after="0" w:before="0" w:lineRule="auto"/>
              <w:rPr>
                <w:rFonts w:ascii="Arial" w:cs="Arial" w:eastAsia="Arial" w:hAnsi="Arial"/>
                <w:b w:val="1"/>
                <w:sz w:val="20"/>
                <w:szCs w:val="20"/>
                <w:vertAlign w:val="superscript"/>
              </w:rPr>
            </w:pPr>
            <w:r w:rsidDel="00000000" w:rsidR="00000000" w:rsidRPr="00000000">
              <w:rPr>
                <w:rFonts w:ascii="Arial" w:cs="Arial" w:eastAsia="Arial" w:hAnsi="Arial"/>
                <w:b w:val="1"/>
                <w:sz w:val="20"/>
                <w:szCs w:val="20"/>
                <w:rtl w:val="0"/>
              </w:rPr>
              <w:t xml:space="preserve">Apr 16, 2015 </w:t>
            </w:r>
            <w:r w:rsidDel="00000000" w:rsidR="00000000" w:rsidRPr="00000000">
              <w:rPr>
                <w:rFonts w:ascii="Arial" w:cs="Arial" w:eastAsia="Arial" w:hAnsi="Arial"/>
                <w:b w:val="1"/>
                <w:sz w:val="20"/>
                <w:szCs w:val="20"/>
                <w:vertAlign w:val="superscript"/>
                <w:rtl w:val="0"/>
              </w:rPr>
              <w:t xml:space="preserve">b</w:t>
            </w:r>
          </w:p>
        </w:tc>
        <w:tc>
          <w:tcPr>
            <w:tcMar>
              <w:top w:w="100.0" w:type="dxa"/>
              <w:left w:w="100.0" w:type="dxa"/>
              <w:bottom w:w="100.0" w:type="dxa"/>
              <w:right w:w="100.0" w:type="dxa"/>
            </w:tcMar>
          </w:tcPr>
          <w:p w:rsidR="00000000" w:rsidDel="00000000" w:rsidP="00000000" w:rsidRDefault="00000000" w:rsidRPr="00000000" w14:paraId="00000025">
            <w:pPr>
              <w:widowControl w:val="0"/>
              <w:spacing w:after="0" w:before="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May 31, 2017</w:t>
            </w:r>
          </w:p>
        </w:tc>
        <w:tc>
          <w:tcPr>
            <w:tcBorders>
              <w:right w:color="000000" w:space="0" w:sz="8" w:val="single"/>
            </w:tcBorders>
            <w:tcMar>
              <w:top w:w="100.0" w:type="dxa"/>
              <w:left w:w="100.0" w:type="dxa"/>
              <w:bottom w:w="100.0" w:type="dxa"/>
              <w:right w:w="100.0" w:type="dxa"/>
            </w:tcMar>
          </w:tcPr>
          <w:p w:rsidR="00000000" w:rsidDel="00000000" w:rsidP="00000000" w:rsidRDefault="00000000" w:rsidRPr="00000000" w14:paraId="00000026">
            <w:pPr>
              <w:widowControl w:val="0"/>
              <w:spacing w:after="0" w:before="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July 18, 2019</w:t>
            </w:r>
          </w:p>
        </w:tc>
      </w:tr>
    </w:tbl>
    <w:p w:rsidR="00000000" w:rsidDel="00000000" w:rsidP="00000000" w:rsidRDefault="00000000" w:rsidRPr="00000000" w14:paraId="00000027">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Notes: OC = observational comparator; RCT = randomized clinical trial.</w:t>
      </w:r>
    </w:p>
    <w:p w:rsidR="00000000" w:rsidDel="00000000" w:rsidP="00000000" w:rsidRDefault="00000000" w:rsidRPr="00000000" w14:paraId="00000028">
      <w:pPr>
        <w:spacing w:after="0" w:before="0" w:lineRule="auto"/>
        <w:rPr>
          <w:rFonts w:ascii="Arial" w:cs="Arial" w:eastAsia="Arial" w:hAnsi="Arial"/>
          <w:sz w:val="20"/>
          <w:szCs w:val="20"/>
        </w:rPr>
      </w:pPr>
      <w:r w:rsidDel="00000000" w:rsidR="00000000" w:rsidRPr="00000000">
        <w:rPr>
          <w:rFonts w:ascii="Arial" w:cs="Arial" w:eastAsia="Arial" w:hAnsi="Arial"/>
          <w:sz w:val="20"/>
          <w:szCs w:val="20"/>
          <w:vertAlign w:val="superscript"/>
          <w:rtl w:val="0"/>
        </w:rPr>
        <w:t xml:space="preserve">a</w:t>
      </w:r>
      <w:r w:rsidDel="00000000" w:rsidR="00000000" w:rsidRPr="00000000">
        <w:rPr>
          <w:rFonts w:ascii="Arial" w:cs="Arial" w:eastAsia="Arial" w:hAnsi="Arial"/>
          <w:sz w:val="20"/>
          <w:szCs w:val="20"/>
          <w:rtl w:val="0"/>
        </w:rPr>
        <w:t xml:space="preserve"> OC arm covers the entire enrollment and follow-up period of the three trials</w:t>
      </w:r>
    </w:p>
    <w:p w:rsidR="00000000" w:rsidDel="00000000" w:rsidP="00000000" w:rsidRDefault="00000000" w:rsidRPr="00000000" w14:paraId="00000029">
      <w:pPr>
        <w:spacing w:after="0" w:before="0" w:lineRule="auto"/>
        <w:rPr>
          <w:rFonts w:ascii="Arial" w:cs="Arial" w:eastAsia="Arial" w:hAnsi="Arial"/>
          <w:sz w:val="20"/>
          <w:szCs w:val="20"/>
        </w:rPr>
      </w:pPr>
      <w:r w:rsidDel="00000000" w:rsidR="00000000" w:rsidRPr="00000000">
        <w:rPr>
          <w:rFonts w:ascii="Arial" w:cs="Arial" w:eastAsia="Arial" w:hAnsi="Arial"/>
          <w:sz w:val="20"/>
          <w:szCs w:val="20"/>
          <w:vertAlign w:val="superscript"/>
          <w:rtl w:val="0"/>
        </w:rPr>
        <w:t xml:space="preserve">b</w:t>
      </w:r>
      <w:r w:rsidDel="00000000" w:rsidR="00000000" w:rsidRPr="00000000">
        <w:rPr>
          <w:rFonts w:ascii="Arial" w:cs="Arial" w:eastAsia="Arial" w:hAnsi="Arial"/>
          <w:sz w:val="20"/>
          <w:szCs w:val="20"/>
          <w:rtl w:val="0"/>
        </w:rPr>
        <w:t xml:space="preserve"> Treatment initiation date</w:t>
      </w:r>
    </w:p>
    <w:p w:rsidR="00000000" w:rsidDel="00000000" w:rsidP="00000000" w:rsidRDefault="00000000" w:rsidRPr="00000000" w14:paraId="0000002A">
      <w:pPr>
        <w:spacing w:after="0" w:before="0" w:lineRule="auto"/>
        <w:rPr>
          <w:rFonts w:ascii="Arial" w:cs="Arial" w:eastAsia="Arial" w:hAnsi="Arial"/>
        </w:rPr>
      </w:pPr>
      <w:r w:rsidDel="00000000" w:rsidR="00000000" w:rsidRPr="00000000">
        <w:rPr>
          <w:rtl w:val="0"/>
        </w:rPr>
      </w:r>
    </w:p>
    <w:p w:rsidR="00000000" w:rsidDel="00000000" w:rsidP="00000000" w:rsidRDefault="00000000" w:rsidRPr="00000000" w14:paraId="0000002B">
      <w:pPr>
        <w:spacing w:after="0" w:before="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2C">
      <w:pPr>
        <w:keepNext w:val="1"/>
        <w:rPr>
          <w:rFonts w:ascii="Arial" w:cs="Arial" w:eastAsia="Arial" w:hAnsi="Arial"/>
          <w:color w:val="666666"/>
        </w:rPr>
      </w:pPr>
      <w:r w:rsidDel="00000000" w:rsidR="00000000" w:rsidRPr="00000000">
        <w:rPr>
          <w:b w:val="1"/>
          <w:rtl w:val="0"/>
        </w:rPr>
        <w:t xml:space="preserve">Supplementary Table 2. </w:t>
      </w:r>
      <w:r w:rsidDel="00000000" w:rsidR="00000000" w:rsidRPr="00000000">
        <w:rPr>
          <w:rtl w:val="0"/>
        </w:rPr>
        <w:t xml:space="preserve">Detailed inclusion/exclusion criteria.</w:t>
      </w:r>
      <w:r w:rsidDel="00000000" w:rsidR="00000000" w:rsidRPr="00000000">
        <w:rPr>
          <w:rtl w:val="0"/>
        </w:rPr>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rPr>
          <w:cantSplit w:val="0"/>
          <w:trHeight w:val="135" w:hRule="atLeast"/>
          <w:tblHeader w:val="0"/>
        </w:trPr>
        <w:tc>
          <w:tcPr>
            <w:shd w:fill="c9daf8" w:val="clear"/>
            <w:tcMar>
              <w:top w:w="100.0" w:type="dxa"/>
              <w:left w:w="100.0" w:type="dxa"/>
              <w:bottom w:w="100.0" w:type="dxa"/>
              <w:right w:w="100.0" w:type="dxa"/>
            </w:tcMar>
            <w:vAlign w:val="center"/>
          </w:tcPr>
          <w:p w:rsidR="00000000" w:rsidDel="00000000" w:rsidP="00000000" w:rsidRDefault="00000000" w:rsidRPr="00000000" w14:paraId="0000002D">
            <w:pPr>
              <w:widowControl w:val="0"/>
              <w:spacing w:after="0" w:before="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IMpower130</w:t>
            </w:r>
            <w:r w:rsidDel="00000000" w:rsidR="00000000" w:rsidRPr="00000000">
              <w:rPr>
                <w:rtl w:val="0"/>
              </w:rPr>
            </w:r>
          </w:p>
        </w:tc>
        <w:tc>
          <w:tcPr>
            <w:shd w:fill="c9daf8" w:val="clear"/>
            <w:tcMar>
              <w:top w:w="100.0" w:type="dxa"/>
              <w:left w:w="100.0" w:type="dxa"/>
              <w:bottom w:w="100.0" w:type="dxa"/>
              <w:right w:w="100.0" w:type="dxa"/>
            </w:tcMar>
            <w:vAlign w:val="center"/>
          </w:tcPr>
          <w:p w:rsidR="00000000" w:rsidDel="00000000" w:rsidP="00000000" w:rsidRDefault="00000000" w:rsidRPr="00000000" w14:paraId="0000002E">
            <w:pPr>
              <w:widowControl w:val="0"/>
              <w:spacing w:after="0" w:before="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IMpower131</w:t>
            </w:r>
          </w:p>
        </w:tc>
        <w:tc>
          <w:tcPr>
            <w:shd w:fill="c9daf8"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after="0" w:before="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IMpower132</w:t>
            </w:r>
          </w:p>
        </w:tc>
        <w:tc>
          <w:tcPr>
            <w:shd w:fill="c9daf8"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after="0" w:before="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OC</w:t>
            </w:r>
          </w:p>
        </w:tc>
      </w:tr>
      <w:tr>
        <w:trPr>
          <w:cantSplit w:val="0"/>
          <w:trHeight w:val="400" w:hRule="atLeast"/>
          <w:tblHeader w:val="0"/>
        </w:trPr>
        <w:tc>
          <w:tcPr>
            <w:gridSpan w:val="4"/>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before="0" w:lineRule="auto"/>
              <w:ind w:left="270" w:firstLine="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Inclusion Criteria</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35">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Signed Informed Consent Form</w:t>
            </w:r>
          </w:p>
        </w:tc>
        <w:tc>
          <w:tcPr>
            <w:tcMar>
              <w:top w:w="100.0" w:type="dxa"/>
              <w:left w:w="100.0" w:type="dxa"/>
              <w:bottom w:w="100.0" w:type="dxa"/>
              <w:right w:w="100.0" w:type="dxa"/>
            </w:tcMar>
            <w:vAlign w:val="center"/>
          </w:tcPr>
          <w:p w:rsidR="00000000" w:rsidDel="00000000" w:rsidP="00000000" w:rsidRDefault="00000000" w:rsidRPr="00000000" w14:paraId="00000036">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Signed Informed Consent Form</w:t>
            </w:r>
          </w:p>
        </w:tc>
        <w:tc>
          <w:tcPr>
            <w:tcMar>
              <w:top w:w="100.0" w:type="dxa"/>
              <w:left w:w="100.0" w:type="dxa"/>
              <w:bottom w:w="100.0" w:type="dxa"/>
              <w:right w:w="100.0" w:type="dxa"/>
            </w:tcMar>
            <w:vAlign w:val="center"/>
          </w:tcPr>
          <w:p w:rsidR="00000000" w:rsidDel="00000000" w:rsidP="00000000" w:rsidRDefault="00000000" w:rsidRPr="00000000" w14:paraId="00000037">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Signed Informed Consent Form</w:t>
            </w:r>
          </w:p>
        </w:tc>
        <w:tc>
          <w:tcPr>
            <w:tcMar>
              <w:top w:w="100.0" w:type="dxa"/>
              <w:left w:w="100.0" w:type="dxa"/>
              <w:bottom w:w="100.0" w:type="dxa"/>
              <w:right w:w="100.0" w:type="dxa"/>
            </w:tcMar>
            <w:vAlign w:val="center"/>
          </w:tcPr>
          <w:p w:rsidR="00000000" w:rsidDel="00000000" w:rsidP="00000000" w:rsidRDefault="00000000" w:rsidRPr="00000000" w14:paraId="00000038">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w:t>
            </w:r>
          </w:p>
          <w:p w:rsidR="00000000" w:rsidDel="00000000" w:rsidP="00000000" w:rsidRDefault="00000000" w:rsidRPr="00000000" w14:paraId="00000039">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relevant)</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3A">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Male or female, 18 years of age or older</w:t>
            </w:r>
          </w:p>
        </w:tc>
        <w:tc>
          <w:tcPr>
            <w:tcMar>
              <w:top w:w="100.0" w:type="dxa"/>
              <w:left w:w="100.0" w:type="dxa"/>
              <w:bottom w:w="100.0" w:type="dxa"/>
              <w:right w:w="100.0" w:type="dxa"/>
            </w:tcMar>
            <w:vAlign w:val="center"/>
          </w:tcPr>
          <w:p w:rsidR="00000000" w:rsidDel="00000000" w:rsidP="00000000" w:rsidRDefault="00000000" w:rsidRPr="00000000" w14:paraId="0000003B">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Male or female, 18 years of age or older</w:t>
            </w:r>
          </w:p>
        </w:tc>
        <w:tc>
          <w:tcPr>
            <w:tcMar>
              <w:top w:w="100.0" w:type="dxa"/>
              <w:left w:w="100.0" w:type="dxa"/>
              <w:bottom w:w="100.0" w:type="dxa"/>
              <w:right w:w="100.0" w:type="dxa"/>
            </w:tcMar>
            <w:vAlign w:val="center"/>
          </w:tcPr>
          <w:p w:rsidR="00000000" w:rsidDel="00000000" w:rsidP="00000000" w:rsidRDefault="00000000" w:rsidRPr="00000000" w14:paraId="0000003C">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Male or female, 18 years of age or older</w:t>
            </w:r>
          </w:p>
        </w:tc>
        <w:tc>
          <w:tcPr>
            <w:tcMar>
              <w:top w:w="100.0" w:type="dxa"/>
              <w:left w:w="100.0" w:type="dxa"/>
              <w:bottom w:w="100.0" w:type="dxa"/>
              <w:right w:w="100.0" w:type="dxa"/>
            </w:tcMar>
            <w:vAlign w:val="center"/>
          </w:tcPr>
          <w:p w:rsidR="00000000" w:rsidDel="00000000" w:rsidP="00000000" w:rsidRDefault="00000000" w:rsidRPr="00000000" w14:paraId="0000003D">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Implemented</w:t>
            </w:r>
          </w:p>
          <w:p w:rsidR="00000000" w:rsidDel="00000000" w:rsidP="00000000" w:rsidRDefault="00000000" w:rsidRPr="00000000" w14:paraId="0000003E">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(Age at start of treatment)</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3F">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ECOG performance status of 0 or 1</w:t>
            </w:r>
          </w:p>
        </w:tc>
        <w:tc>
          <w:tcPr>
            <w:tcMar>
              <w:top w:w="100.0" w:type="dxa"/>
              <w:left w:w="100.0" w:type="dxa"/>
              <w:bottom w:w="100.0" w:type="dxa"/>
              <w:right w:w="100.0" w:type="dxa"/>
            </w:tcMar>
            <w:vAlign w:val="center"/>
          </w:tcPr>
          <w:p w:rsidR="00000000" w:rsidDel="00000000" w:rsidP="00000000" w:rsidRDefault="00000000" w:rsidRPr="00000000" w14:paraId="00000040">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ECOG performance status of 0 or 1</w:t>
            </w:r>
          </w:p>
        </w:tc>
        <w:tc>
          <w:tcPr>
            <w:tcMar>
              <w:top w:w="100.0" w:type="dxa"/>
              <w:left w:w="100.0" w:type="dxa"/>
              <w:bottom w:w="100.0" w:type="dxa"/>
              <w:right w:w="100.0" w:type="dxa"/>
            </w:tcMar>
            <w:vAlign w:val="center"/>
          </w:tcPr>
          <w:p w:rsidR="00000000" w:rsidDel="00000000" w:rsidP="00000000" w:rsidRDefault="00000000" w:rsidRPr="00000000" w14:paraId="00000041">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ECOG performance status of 0 or 1</w:t>
            </w:r>
          </w:p>
        </w:tc>
        <w:tc>
          <w:tcPr>
            <w:tcMar>
              <w:top w:w="100.0" w:type="dxa"/>
              <w:left w:w="100.0" w:type="dxa"/>
              <w:bottom w:w="100.0" w:type="dxa"/>
              <w:right w:w="100.0" w:type="dxa"/>
            </w:tcMar>
            <w:vAlign w:val="center"/>
          </w:tcPr>
          <w:p w:rsidR="00000000" w:rsidDel="00000000" w:rsidP="00000000" w:rsidRDefault="00000000" w:rsidRPr="00000000" w14:paraId="00000042">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Implemented ECOG PS 0 or 1 or missing</w:t>
            </w:r>
          </w:p>
          <w:p w:rsidR="00000000" w:rsidDel="00000000" w:rsidP="00000000" w:rsidRDefault="00000000" w:rsidRPr="00000000" w14:paraId="00000043">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(The closest ECOG value within a -30 to +7 window around 1L start date will be used, taking the highest if multiple observations occur on same day)</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4">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Histologically or cytologically confirmed, Stage IV </w:t>
            </w:r>
            <w:r w:rsidDel="00000000" w:rsidR="00000000" w:rsidRPr="00000000">
              <w:rPr>
                <w:rFonts w:ascii="Arial" w:cs="Arial" w:eastAsia="Arial" w:hAnsi="Arial"/>
                <w:b w:val="1"/>
                <w:i w:val="1"/>
                <w:sz w:val="20"/>
                <w:szCs w:val="20"/>
                <w:rtl w:val="0"/>
              </w:rPr>
              <w:t xml:space="preserve">non-squamous</w:t>
            </w:r>
            <w:r w:rsidDel="00000000" w:rsidR="00000000" w:rsidRPr="00000000">
              <w:rPr>
                <w:rFonts w:ascii="Arial" w:cs="Arial" w:eastAsia="Arial" w:hAnsi="Arial"/>
                <w:i w:val="1"/>
                <w:sz w:val="20"/>
                <w:szCs w:val="20"/>
                <w:rtl w:val="0"/>
              </w:rPr>
              <w:t xml:space="preserve"> NSCLC</w:t>
            </w:r>
          </w:p>
        </w:tc>
        <w:tc>
          <w:tcPr>
            <w:tcMar>
              <w:top w:w="100.0" w:type="dxa"/>
              <w:left w:w="100.0" w:type="dxa"/>
              <w:bottom w:w="100.0" w:type="dxa"/>
              <w:right w:w="100.0" w:type="dxa"/>
            </w:tcMar>
            <w:vAlign w:val="center"/>
          </w:tcPr>
          <w:p w:rsidR="00000000" w:rsidDel="00000000" w:rsidP="00000000" w:rsidRDefault="00000000" w:rsidRPr="00000000" w14:paraId="00000045">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Histologically or cytologically confirmed, Stage IV </w:t>
            </w:r>
            <w:r w:rsidDel="00000000" w:rsidR="00000000" w:rsidRPr="00000000">
              <w:rPr>
                <w:rFonts w:ascii="Arial" w:cs="Arial" w:eastAsia="Arial" w:hAnsi="Arial"/>
                <w:b w:val="1"/>
                <w:i w:val="1"/>
                <w:sz w:val="20"/>
                <w:szCs w:val="20"/>
                <w:rtl w:val="0"/>
              </w:rPr>
              <w:t xml:space="preserve">squamous</w:t>
            </w:r>
            <w:r w:rsidDel="00000000" w:rsidR="00000000" w:rsidRPr="00000000">
              <w:rPr>
                <w:rFonts w:ascii="Arial" w:cs="Arial" w:eastAsia="Arial" w:hAnsi="Arial"/>
                <w:i w:val="1"/>
                <w:sz w:val="20"/>
                <w:szCs w:val="20"/>
                <w:rtl w:val="0"/>
              </w:rPr>
              <w:t xml:space="preserve"> NSCLC</w:t>
            </w:r>
          </w:p>
        </w:tc>
        <w:tc>
          <w:tcPr>
            <w:tcMar>
              <w:top w:w="100.0" w:type="dxa"/>
              <w:left w:w="100.0" w:type="dxa"/>
              <w:bottom w:w="100.0" w:type="dxa"/>
              <w:right w:w="100.0" w:type="dxa"/>
            </w:tcMar>
            <w:vAlign w:val="center"/>
          </w:tcPr>
          <w:p w:rsidR="00000000" w:rsidDel="00000000" w:rsidP="00000000" w:rsidRDefault="00000000" w:rsidRPr="00000000" w14:paraId="00000046">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Histologically or cytologically confirmed, Stage IV </w:t>
            </w:r>
            <w:r w:rsidDel="00000000" w:rsidR="00000000" w:rsidRPr="00000000">
              <w:rPr>
                <w:rFonts w:ascii="Arial" w:cs="Arial" w:eastAsia="Arial" w:hAnsi="Arial"/>
                <w:b w:val="1"/>
                <w:i w:val="1"/>
                <w:sz w:val="20"/>
                <w:szCs w:val="20"/>
                <w:rtl w:val="0"/>
              </w:rPr>
              <w:t xml:space="preserve">non-squamous </w:t>
            </w:r>
            <w:r w:rsidDel="00000000" w:rsidR="00000000" w:rsidRPr="00000000">
              <w:rPr>
                <w:rFonts w:ascii="Arial" w:cs="Arial" w:eastAsia="Arial" w:hAnsi="Arial"/>
                <w:i w:val="1"/>
                <w:sz w:val="20"/>
                <w:szCs w:val="20"/>
                <w:rtl w:val="0"/>
              </w:rPr>
              <w:t xml:space="preserve">NSCLC </w:t>
            </w:r>
          </w:p>
          <w:p w:rsidR="00000000" w:rsidDel="00000000" w:rsidP="00000000" w:rsidRDefault="00000000" w:rsidRPr="00000000" w14:paraId="00000047">
            <w:pPr>
              <w:widowControl w:val="0"/>
              <w:numPr>
                <w:ilvl w:val="0"/>
                <w:numId w:val="14"/>
              </w:numPr>
              <w:spacing w:after="0" w:before="0"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Patients with tumors of mixed non-small cell histology (i.e., squamous and non- squamous) were eligible if the major histological component appeared to be non-squamous.</w:t>
            </w:r>
          </w:p>
        </w:tc>
        <w:tc>
          <w:tcPr>
            <w:tcMar>
              <w:top w:w="100.0" w:type="dxa"/>
              <w:left w:w="100.0" w:type="dxa"/>
              <w:bottom w:w="100.0" w:type="dxa"/>
              <w:right w:w="100.0" w:type="dxa"/>
            </w:tcMar>
            <w:vAlign w:val="center"/>
          </w:tcPr>
          <w:p w:rsidR="00000000" w:rsidDel="00000000" w:rsidP="00000000" w:rsidRDefault="00000000" w:rsidRPr="00000000" w14:paraId="00000048">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Implemented </w:t>
            </w:r>
          </w:p>
          <w:p w:rsidR="00000000" w:rsidDel="00000000" w:rsidP="00000000" w:rsidRDefault="00000000" w:rsidRPr="00000000" w14:paraId="00000049">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(either squamous or non-squamous)</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A">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 prior treatment for Stage IV </w:t>
            </w:r>
            <w:r w:rsidDel="00000000" w:rsidR="00000000" w:rsidRPr="00000000">
              <w:rPr>
                <w:rFonts w:ascii="Arial" w:cs="Arial" w:eastAsia="Arial" w:hAnsi="Arial"/>
                <w:b w:val="1"/>
                <w:i w:val="1"/>
                <w:sz w:val="20"/>
                <w:szCs w:val="20"/>
                <w:rtl w:val="0"/>
              </w:rPr>
              <w:t xml:space="preserve">non-squamous </w:t>
            </w:r>
            <w:r w:rsidDel="00000000" w:rsidR="00000000" w:rsidRPr="00000000">
              <w:rPr>
                <w:rFonts w:ascii="Arial" w:cs="Arial" w:eastAsia="Arial" w:hAnsi="Arial"/>
                <w:i w:val="1"/>
                <w:sz w:val="20"/>
                <w:szCs w:val="20"/>
                <w:rtl w:val="0"/>
              </w:rPr>
              <w:t xml:space="preserve">NSCLC</w:t>
            </w:r>
          </w:p>
        </w:tc>
        <w:tc>
          <w:tcPr>
            <w:tcMar>
              <w:top w:w="100.0" w:type="dxa"/>
              <w:left w:w="100.0" w:type="dxa"/>
              <w:bottom w:w="100.0" w:type="dxa"/>
              <w:right w:w="100.0" w:type="dxa"/>
            </w:tcMar>
            <w:vAlign w:val="center"/>
          </w:tcPr>
          <w:p w:rsidR="00000000" w:rsidDel="00000000" w:rsidP="00000000" w:rsidRDefault="00000000" w:rsidRPr="00000000" w14:paraId="0000004B">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 prior treatment for Stage IV </w:t>
            </w:r>
            <w:r w:rsidDel="00000000" w:rsidR="00000000" w:rsidRPr="00000000">
              <w:rPr>
                <w:rFonts w:ascii="Arial" w:cs="Arial" w:eastAsia="Arial" w:hAnsi="Arial"/>
                <w:b w:val="1"/>
                <w:i w:val="1"/>
                <w:sz w:val="20"/>
                <w:szCs w:val="20"/>
                <w:rtl w:val="0"/>
              </w:rPr>
              <w:t xml:space="preserve">squamous</w:t>
            </w:r>
            <w:r w:rsidDel="00000000" w:rsidR="00000000" w:rsidRPr="00000000">
              <w:rPr>
                <w:rFonts w:ascii="Arial" w:cs="Arial" w:eastAsia="Arial" w:hAnsi="Arial"/>
                <w:i w:val="1"/>
                <w:sz w:val="20"/>
                <w:szCs w:val="20"/>
                <w:rtl w:val="0"/>
              </w:rPr>
              <w:t xml:space="preserve"> NSCLC</w:t>
            </w:r>
          </w:p>
        </w:tc>
        <w:tc>
          <w:tcPr>
            <w:tcMar>
              <w:top w:w="100.0" w:type="dxa"/>
              <w:left w:w="100.0" w:type="dxa"/>
              <w:bottom w:w="100.0" w:type="dxa"/>
              <w:right w:w="100.0" w:type="dxa"/>
            </w:tcMar>
            <w:vAlign w:val="center"/>
          </w:tcPr>
          <w:p w:rsidR="00000000" w:rsidDel="00000000" w:rsidP="00000000" w:rsidRDefault="00000000" w:rsidRPr="00000000" w14:paraId="0000004C">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 prior treatment for Stage IV </w:t>
            </w:r>
            <w:r w:rsidDel="00000000" w:rsidR="00000000" w:rsidRPr="00000000">
              <w:rPr>
                <w:rFonts w:ascii="Arial" w:cs="Arial" w:eastAsia="Arial" w:hAnsi="Arial"/>
                <w:b w:val="1"/>
                <w:i w:val="1"/>
                <w:sz w:val="20"/>
                <w:szCs w:val="20"/>
                <w:rtl w:val="0"/>
              </w:rPr>
              <w:t xml:space="preserve">non-squamous </w:t>
            </w:r>
            <w:r w:rsidDel="00000000" w:rsidR="00000000" w:rsidRPr="00000000">
              <w:rPr>
                <w:rFonts w:ascii="Arial" w:cs="Arial" w:eastAsia="Arial" w:hAnsi="Arial"/>
                <w:i w:val="1"/>
                <w:sz w:val="20"/>
                <w:szCs w:val="20"/>
                <w:rtl w:val="0"/>
              </w:rPr>
              <w:t xml:space="preserve">NSCLC</w:t>
            </w:r>
          </w:p>
        </w:tc>
        <w:tc>
          <w:tcPr>
            <w:tcMar>
              <w:top w:w="100.0" w:type="dxa"/>
              <w:left w:w="100.0" w:type="dxa"/>
              <w:bottom w:w="100.0" w:type="dxa"/>
              <w:right w:w="100.0" w:type="dxa"/>
            </w:tcMar>
            <w:vAlign w:val="center"/>
          </w:tcPr>
          <w:p w:rsidR="00000000" w:rsidDel="00000000" w:rsidP="00000000" w:rsidRDefault="00000000" w:rsidRPr="00000000" w14:paraId="0000004D">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Implemented </w:t>
            </w:r>
          </w:p>
          <w:p w:rsidR="00000000" w:rsidDel="00000000" w:rsidP="00000000" w:rsidRDefault="00000000" w:rsidRPr="00000000" w14:paraId="0000004E">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(Patients with structured activity within 90 days of advanced diagnosis)</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4F">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Patients who have received prior neo-adjuvant, adjuvant chemotherapy, or chemoradiotherapy with curative intent for non-metastatic disease must have experienced a treatment-free interval of at least 6 months from randomization since the last chemotherapy or chemoradiotherapy cycle.</w:t>
            </w:r>
          </w:p>
        </w:tc>
        <w:tc>
          <w:tcPr>
            <w:tcMar>
              <w:top w:w="100.0" w:type="dxa"/>
              <w:left w:w="100.0" w:type="dxa"/>
              <w:bottom w:w="100.0" w:type="dxa"/>
              <w:right w:w="100.0" w:type="dxa"/>
            </w:tcMar>
            <w:vAlign w:val="center"/>
          </w:tcPr>
          <w:p w:rsidR="00000000" w:rsidDel="00000000" w:rsidP="00000000" w:rsidRDefault="00000000" w:rsidRPr="00000000" w14:paraId="00000050">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Patients who have received prior neo-adjuvant, adjuvant chemotherapy, </w:t>
            </w:r>
            <w:r w:rsidDel="00000000" w:rsidR="00000000" w:rsidRPr="00000000">
              <w:rPr>
                <w:rFonts w:ascii="Arial" w:cs="Arial" w:eastAsia="Arial" w:hAnsi="Arial"/>
                <w:b w:val="1"/>
                <w:i w:val="1"/>
                <w:sz w:val="20"/>
                <w:szCs w:val="20"/>
                <w:rtl w:val="0"/>
              </w:rPr>
              <w:t xml:space="preserve">radiotherapy</w:t>
            </w:r>
            <w:r w:rsidDel="00000000" w:rsidR="00000000" w:rsidRPr="00000000">
              <w:rPr>
                <w:rFonts w:ascii="Arial" w:cs="Arial" w:eastAsia="Arial" w:hAnsi="Arial"/>
                <w:i w:val="1"/>
                <w:sz w:val="20"/>
                <w:szCs w:val="20"/>
                <w:rtl w:val="0"/>
              </w:rPr>
              <w:t xml:space="preserve">, or chemoradiotherapy with curative intent for non-metastatic disease must have experienced a treatment-free interval of at least 6 months from randomization since the last chemotherapy, radiotherapy, or chemoradiotherapy.</w:t>
            </w:r>
          </w:p>
        </w:tc>
        <w:tc>
          <w:tcPr>
            <w:tcMar>
              <w:top w:w="100.0" w:type="dxa"/>
              <w:left w:w="100.0" w:type="dxa"/>
              <w:bottom w:w="100.0" w:type="dxa"/>
              <w:right w:w="100.0" w:type="dxa"/>
            </w:tcMar>
            <w:vAlign w:val="center"/>
          </w:tcPr>
          <w:p w:rsidR="00000000" w:rsidDel="00000000" w:rsidP="00000000" w:rsidRDefault="00000000" w:rsidRPr="00000000" w14:paraId="00000051">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Patients who had received prior neo-adjuvant, adjuvant chemotherapy, </w:t>
            </w:r>
            <w:r w:rsidDel="00000000" w:rsidR="00000000" w:rsidRPr="00000000">
              <w:rPr>
                <w:rFonts w:ascii="Arial" w:cs="Arial" w:eastAsia="Arial" w:hAnsi="Arial"/>
                <w:b w:val="1"/>
                <w:i w:val="1"/>
                <w:sz w:val="20"/>
                <w:szCs w:val="20"/>
                <w:rtl w:val="0"/>
              </w:rPr>
              <w:t xml:space="preserve">radiotherapy</w:t>
            </w:r>
            <w:r w:rsidDel="00000000" w:rsidR="00000000" w:rsidRPr="00000000">
              <w:rPr>
                <w:rFonts w:ascii="Arial" w:cs="Arial" w:eastAsia="Arial" w:hAnsi="Arial"/>
                <w:i w:val="1"/>
                <w:sz w:val="20"/>
                <w:szCs w:val="20"/>
                <w:rtl w:val="0"/>
              </w:rPr>
              <w:t xml:space="preserve">, or chemoradiotherapy with curative intent for non-metastatic disease must have experienced a treatment-free interval of at least 6 months from randomization since the last dose of chemotherapy and/or radiotherapy</w:t>
            </w:r>
          </w:p>
        </w:tc>
        <w:tc>
          <w:tcPr>
            <w:tcMar>
              <w:top w:w="100.0" w:type="dxa"/>
              <w:left w:w="100.0" w:type="dxa"/>
              <w:bottom w:w="100.0" w:type="dxa"/>
              <w:right w:w="100.0" w:type="dxa"/>
            </w:tcMar>
            <w:vAlign w:val="center"/>
          </w:tcPr>
          <w:p w:rsidR="00000000" w:rsidDel="00000000" w:rsidP="00000000" w:rsidRDefault="00000000" w:rsidRPr="00000000" w14:paraId="00000052">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Implemented</w:t>
            </w:r>
          </w:p>
          <w:p w:rsidR="00000000" w:rsidDel="00000000" w:rsidP="00000000" w:rsidRDefault="00000000" w:rsidRPr="00000000" w14:paraId="00000053">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(Patients with documented antineoplastic medications 6 months prior to 1L start date, per medication administration and enhanced orals tables)</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54">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Patients with a history of treated asymptomatic CNS metastases are eligible, provided they meet all of the following criteria:</w:t>
            </w:r>
          </w:p>
          <w:p w:rsidR="00000000" w:rsidDel="00000000" w:rsidP="00000000" w:rsidRDefault="00000000" w:rsidRPr="00000000" w14:paraId="00000055">
            <w:pPr>
              <w:widowControl w:val="0"/>
              <w:numPr>
                <w:ilvl w:val="0"/>
                <w:numId w:val="8"/>
              </w:numPr>
              <w:spacing w:after="0" w:before="0"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Only supratentorial and cerebellar metastases allowed (i.e., no metastases to midbrain, pons, medulla or spinal cord)</w:t>
            </w:r>
          </w:p>
          <w:p w:rsidR="00000000" w:rsidDel="00000000" w:rsidP="00000000" w:rsidRDefault="00000000" w:rsidRPr="00000000" w14:paraId="00000056">
            <w:pPr>
              <w:widowControl w:val="0"/>
              <w:numPr>
                <w:ilvl w:val="0"/>
                <w:numId w:val="8"/>
              </w:numPr>
              <w:spacing w:after="0" w:before="0"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 ongoing requirement for corticosteroids as therapy for CNS disease</w:t>
            </w:r>
          </w:p>
          <w:p w:rsidR="00000000" w:rsidDel="00000000" w:rsidP="00000000" w:rsidRDefault="00000000" w:rsidRPr="00000000" w14:paraId="00000057">
            <w:pPr>
              <w:widowControl w:val="0"/>
              <w:numPr>
                <w:ilvl w:val="0"/>
                <w:numId w:val="8"/>
              </w:numPr>
              <w:spacing w:after="0" w:before="0"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 stereotactic radiation within 7 days or whole-brain radiation within 14 days prior to randomization</w:t>
            </w:r>
          </w:p>
          <w:p w:rsidR="00000000" w:rsidDel="00000000" w:rsidP="00000000" w:rsidRDefault="00000000" w:rsidRPr="00000000" w14:paraId="00000058">
            <w:pPr>
              <w:widowControl w:val="0"/>
              <w:numPr>
                <w:ilvl w:val="0"/>
                <w:numId w:val="8"/>
              </w:numPr>
              <w:spacing w:after="0" w:before="0"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 evidence of interim progression between the completion of CNS-directed therapy and the screening radiographic study</w:t>
            </w:r>
          </w:p>
        </w:tc>
        <w:tc>
          <w:tcPr>
            <w:tcMar>
              <w:top w:w="100.0" w:type="dxa"/>
              <w:left w:w="100.0" w:type="dxa"/>
              <w:bottom w:w="100.0" w:type="dxa"/>
              <w:right w:w="100.0" w:type="dxa"/>
            </w:tcMar>
            <w:vAlign w:val="center"/>
          </w:tcPr>
          <w:p w:rsidR="00000000" w:rsidDel="00000000" w:rsidP="00000000" w:rsidRDefault="00000000" w:rsidRPr="00000000" w14:paraId="00000059">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Patients with a history of treated asymptomatic CNS metastases are eligible, provided they meet all of the following criteria:</w:t>
            </w:r>
          </w:p>
          <w:p w:rsidR="00000000" w:rsidDel="00000000" w:rsidP="00000000" w:rsidRDefault="00000000" w:rsidRPr="00000000" w14:paraId="0000005A">
            <w:pPr>
              <w:widowControl w:val="0"/>
              <w:numPr>
                <w:ilvl w:val="0"/>
                <w:numId w:val="3"/>
              </w:numPr>
              <w:spacing w:after="0" w:before="0"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Only supratentorial and cerebellar metastases allowed (i.e., no metastases to midbrain, pons, medulla, or spinal cord)</w:t>
            </w:r>
          </w:p>
          <w:p w:rsidR="00000000" w:rsidDel="00000000" w:rsidP="00000000" w:rsidRDefault="00000000" w:rsidRPr="00000000" w14:paraId="0000005B">
            <w:pPr>
              <w:widowControl w:val="0"/>
              <w:numPr>
                <w:ilvl w:val="0"/>
                <w:numId w:val="3"/>
              </w:numPr>
              <w:spacing w:after="0" w:before="0"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 ongoing requirement for corticosteroids as therapy for CNS disease</w:t>
            </w:r>
          </w:p>
          <w:p w:rsidR="00000000" w:rsidDel="00000000" w:rsidP="00000000" w:rsidRDefault="00000000" w:rsidRPr="00000000" w14:paraId="0000005C">
            <w:pPr>
              <w:widowControl w:val="0"/>
              <w:numPr>
                <w:ilvl w:val="0"/>
                <w:numId w:val="3"/>
              </w:numPr>
              <w:spacing w:after="0" w:before="0"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 stereotactic radiation within 7 days or whole-brain radiation within 14 days prior to randomization</w:t>
            </w:r>
          </w:p>
          <w:p w:rsidR="00000000" w:rsidDel="00000000" w:rsidP="00000000" w:rsidRDefault="00000000" w:rsidRPr="00000000" w14:paraId="0000005D">
            <w:pPr>
              <w:widowControl w:val="0"/>
              <w:numPr>
                <w:ilvl w:val="0"/>
                <w:numId w:val="3"/>
              </w:numPr>
              <w:spacing w:after="0" w:before="0"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 evidence of interim progression between the completion of CNS-directed therapy and the screening radiographic study.</w:t>
            </w:r>
          </w:p>
        </w:tc>
        <w:tc>
          <w:tcPr>
            <w:tcMar>
              <w:top w:w="100.0" w:type="dxa"/>
              <w:left w:w="100.0" w:type="dxa"/>
              <w:bottom w:w="100.0" w:type="dxa"/>
              <w:right w:w="100.0" w:type="dxa"/>
            </w:tcMar>
          </w:tcPr>
          <w:p w:rsidR="00000000" w:rsidDel="00000000" w:rsidP="00000000" w:rsidRDefault="00000000" w:rsidRPr="00000000" w14:paraId="0000005E">
            <w:pPr>
              <w:widowControl w:val="0"/>
              <w:spacing w:after="0" w:before="0"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Patients with a history of treated asymptomatic CNS metastases were eligible, provided they met all of the following criteria:</w:t>
            </w:r>
          </w:p>
          <w:p w:rsidR="00000000" w:rsidDel="00000000" w:rsidP="00000000" w:rsidRDefault="00000000" w:rsidRPr="00000000" w14:paraId="0000005F">
            <w:pPr>
              <w:widowControl w:val="0"/>
              <w:numPr>
                <w:ilvl w:val="0"/>
                <w:numId w:val="11"/>
              </w:numPr>
              <w:spacing w:after="0" w:before="0"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Only supratentorial and cerebellar metastases were allowed (i.e., no metastases to midbrain, pons, medulla, or spinal cord)</w:t>
            </w:r>
          </w:p>
          <w:p w:rsidR="00000000" w:rsidDel="00000000" w:rsidP="00000000" w:rsidRDefault="00000000" w:rsidRPr="00000000" w14:paraId="00000060">
            <w:pPr>
              <w:widowControl w:val="0"/>
              <w:numPr>
                <w:ilvl w:val="0"/>
                <w:numId w:val="11"/>
              </w:numPr>
              <w:spacing w:after="0" w:before="0"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 ongoing requirement for corticosteroids as therapy for CNS disease</w:t>
            </w:r>
          </w:p>
          <w:p w:rsidR="00000000" w:rsidDel="00000000" w:rsidP="00000000" w:rsidRDefault="00000000" w:rsidRPr="00000000" w14:paraId="00000061">
            <w:pPr>
              <w:widowControl w:val="0"/>
              <w:numPr>
                <w:ilvl w:val="0"/>
                <w:numId w:val="11"/>
              </w:numPr>
              <w:spacing w:after="0" w:before="0"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 stereotactic radiation within 7 days or whole-brain radiation within 14 days prior to randomization</w:t>
            </w:r>
          </w:p>
          <w:p w:rsidR="00000000" w:rsidDel="00000000" w:rsidP="00000000" w:rsidRDefault="00000000" w:rsidRPr="00000000" w14:paraId="00000062">
            <w:pPr>
              <w:widowControl w:val="0"/>
              <w:numPr>
                <w:ilvl w:val="0"/>
                <w:numId w:val="11"/>
              </w:numPr>
              <w:spacing w:after="0" w:before="0"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 evidence of interim progression between the completion of CNS-directed therapy and the screening radiographic study</w:t>
            </w:r>
          </w:p>
        </w:tc>
        <w:tc>
          <w:tcPr>
            <w:tcMar>
              <w:top w:w="100.0" w:type="dxa"/>
              <w:left w:w="100.0" w:type="dxa"/>
              <w:bottom w:w="100.0" w:type="dxa"/>
              <w:right w:w="100.0" w:type="dxa"/>
            </w:tcMar>
            <w:vAlign w:val="center"/>
          </w:tcPr>
          <w:p w:rsidR="00000000" w:rsidDel="00000000" w:rsidP="00000000" w:rsidRDefault="00000000" w:rsidRPr="00000000" w14:paraId="00000063">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064">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in real-world database)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65">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NA</w:t>
            </w:r>
          </w:p>
        </w:tc>
        <w:tc>
          <w:tcPr>
            <w:tcMar>
              <w:top w:w="100.0" w:type="dxa"/>
              <w:left w:w="100.0" w:type="dxa"/>
              <w:bottom w:w="100.0" w:type="dxa"/>
              <w:right w:w="100.0" w:type="dxa"/>
            </w:tcMar>
            <w:vAlign w:val="center"/>
          </w:tcPr>
          <w:p w:rsidR="00000000" w:rsidDel="00000000" w:rsidP="00000000" w:rsidRDefault="00000000" w:rsidRPr="00000000" w14:paraId="00000066">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NA</w:t>
            </w:r>
          </w:p>
        </w:tc>
        <w:tc>
          <w:tcPr>
            <w:tcMar>
              <w:top w:w="100.0" w:type="dxa"/>
              <w:left w:w="100.0" w:type="dxa"/>
              <w:bottom w:w="100.0" w:type="dxa"/>
              <w:right w:w="100.0" w:type="dxa"/>
            </w:tcMar>
            <w:vAlign w:val="center"/>
          </w:tcPr>
          <w:p w:rsidR="00000000" w:rsidDel="00000000" w:rsidP="00000000" w:rsidRDefault="00000000" w:rsidRPr="00000000" w14:paraId="00000067">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Patients were to submit a pre-treatment tumor tissue sample (if available). If tumor tissue was not available (e.g., depleted for prior diagnostic testing), patients were still eligible.</w:t>
            </w:r>
          </w:p>
        </w:tc>
        <w:tc>
          <w:tcPr>
            <w:tcMar>
              <w:top w:w="100.0" w:type="dxa"/>
              <w:left w:w="100.0" w:type="dxa"/>
              <w:bottom w:w="100.0" w:type="dxa"/>
              <w:right w:w="100.0" w:type="dxa"/>
            </w:tcMar>
            <w:vAlign w:val="center"/>
          </w:tcPr>
          <w:p w:rsidR="00000000" w:rsidDel="00000000" w:rsidP="00000000" w:rsidRDefault="00000000" w:rsidRPr="00000000" w14:paraId="00000068">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69">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Known PD-L1 tumor status</w:t>
            </w:r>
            <w:r w:rsidDel="00000000" w:rsidR="00000000" w:rsidRPr="00000000">
              <w:rPr>
                <w:rFonts w:ascii="Arial" w:cs="Arial" w:eastAsia="Arial" w:hAnsi="Arial"/>
                <w:i w:val="1"/>
                <w:sz w:val="20"/>
                <w:szCs w:val="20"/>
                <w:rtl w:val="0"/>
              </w:rPr>
              <w:t xml:space="preserve"> as determined by an IHC assay performed by a central laboratory on previously obtained archival tumor tissue or tissue obtained from a biopsy at screening</w:t>
            </w:r>
          </w:p>
        </w:tc>
        <w:tc>
          <w:tcPr>
            <w:tcMar>
              <w:top w:w="100.0" w:type="dxa"/>
              <w:left w:w="100.0" w:type="dxa"/>
              <w:bottom w:w="100.0" w:type="dxa"/>
              <w:right w:w="100.0" w:type="dxa"/>
            </w:tcMar>
            <w:vAlign w:val="center"/>
          </w:tcPr>
          <w:p w:rsidR="00000000" w:rsidDel="00000000" w:rsidP="00000000" w:rsidRDefault="00000000" w:rsidRPr="00000000" w14:paraId="0000006A">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Known PD-L1 tumor status</w:t>
            </w:r>
            <w:r w:rsidDel="00000000" w:rsidR="00000000" w:rsidRPr="00000000">
              <w:rPr>
                <w:rFonts w:ascii="Arial" w:cs="Arial" w:eastAsia="Arial" w:hAnsi="Arial"/>
                <w:i w:val="1"/>
                <w:sz w:val="20"/>
                <w:szCs w:val="20"/>
                <w:rtl w:val="0"/>
              </w:rPr>
              <w:t xml:space="preserve"> as determined by an IHC assay performed by a central laboratory on previously obtained archival tumor tissue or tissue obtained from a biopsy at screening.</w:t>
            </w:r>
          </w:p>
        </w:tc>
        <w:tc>
          <w:tcPr>
            <w:tcMar>
              <w:top w:w="100.0" w:type="dxa"/>
              <w:left w:w="100.0" w:type="dxa"/>
              <w:bottom w:w="100.0" w:type="dxa"/>
              <w:right w:w="100.0" w:type="dxa"/>
            </w:tcMar>
            <w:vAlign w:val="center"/>
          </w:tcPr>
          <w:p w:rsidR="00000000" w:rsidDel="00000000" w:rsidP="00000000" w:rsidRDefault="00000000" w:rsidRPr="00000000" w14:paraId="0000006B">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Known tumor PD-L1 </w:t>
            </w:r>
            <w:r w:rsidDel="00000000" w:rsidR="00000000" w:rsidRPr="00000000">
              <w:rPr>
                <w:rFonts w:ascii="Arial" w:cs="Arial" w:eastAsia="Arial" w:hAnsi="Arial"/>
                <w:i w:val="1"/>
                <w:sz w:val="20"/>
                <w:szCs w:val="20"/>
                <w:rtl w:val="0"/>
              </w:rPr>
              <w:t xml:space="preserve">expression status as determined by an IHC assay from other clinical studies</w:t>
            </w:r>
          </w:p>
        </w:tc>
        <w:tc>
          <w:tcPr>
            <w:tcMar>
              <w:top w:w="100.0" w:type="dxa"/>
              <w:left w:w="100.0" w:type="dxa"/>
              <w:bottom w:w="100.0" w:type="dxa"/>
              <w:right w:w="100.0" w:type="dxa"/>
            </w:tcMar>
            <w:vAlign w:val="center"/>
          </w:tcPr>
          <w:p w:rsidR="00000000" w:rsidDel="00000000" w:rsidP="00000000" w:rsidRDefault="00000000" w:rsidRPr="00000000" w14:paraId="0000006C">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06D">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(Include all patients regardless of PD-L1 status)</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6E">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Measurable disease, as defined by RECIST v1.1</w:t>
            </w:r>
          </w:p>
        </w:tc>
        <w:tc>
          <w:tcPr>
            <w:tcMar>
              <w:top w:w="100.0" w:type="dxa"/>
              <w:left w:w="100.0" w:type="dxa"/>
              <w:bottom w:w="100.0" w:type="dxa"/>
              <w:right w:w="100.0" w:type="dxa"/>
            </w:tcMar>
            <w:vAlign w:val="center"/>
          </w:tcPr>
          <w:p w:rsidR="00000000" w:rsidDel="00000000" w:rsidP="00000000" w:rsidRDefault="00000000" w:rsidRPr="00000000" w14:paraId="0000006F">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Measurable disease, as defined by RECIST v1.1</w:t>
            </w:r>
          </w:p>
        </w:tc>
        <w:tc>
          <w:tcPr>
            <w:tcMar>
              <w:top w:w="100.0" w:type="dxa"/>
              <w:left w:w="100.0" w:type="dxa"/>
              <w:bottom w:w="100.0" w:type="dxa"/>
              <w:right w:w="100.0" w:type="dxa"/>
            </w:tcMar>
            <w:vAlign w:val="center"/>
          </w:tcPr>
          <w:p w:rsidR="00000000" w:rsidDel="00000000" w:rsidP="00000000" w:rsidRDefault="00000000" w:rsidRPr="00000000" w14:paraId="00000070">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Measurable disease, as defined by RECIST v1.1</w:t>
            </w:r>
          </w:p>
        </w:tc>
        <w:tc>
          <w:tcPr>
            <w:tcMar>
              <w:top w:w="100.0" w:type="dxa"/>
              <w:left w:w="100.0" w:type="dxa"/>
              <w:bottom w:w="100.0" w:type="dxa"/>
              <w:right w:w="100.0" w:type="dxa"/>
            </w:tcMar>
            <w:vAlign w:val="center"/>
          </w:tcPr>
          <w:p w:rsidR="00000000" w:rsidDel="00000000" w:rsidP="00000000" w:rsidRDefault="00000000" w:rsidRPr="00000000" w14:paraId="00000071">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072">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in real-world database)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73">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Adequate hematologic and end-organ function, defined by the following laboratory results obtained within 14 days prior to randomization:</w:t>
            </w:r>
          </w:p>
        </w:tc>
        <w:tc>
          <w:tcPr>
            <w:tcMar>
              <w:top w:w="100.0" w:type="dxa"/>
              <w:left w:w="100.0" w:type="dxa"/>
              <w:bottom w:w="100.0" w:type="dxa"/>
              <w:right w:w="100.0" w:type="dxa"/>
            </w:tcMar>
            <w:vAlign w:val="center"/>
          </w:tcPr>
          <w:p w:rsidR="00000000" w:rsidDel="00000000" w:rsidP="00000000" w:rsidRDefault="00000000" w:rsidRPr="00000000" w14:paraId="00000074">
            <w:pPr>
              <w:widowControl w:val="0"/>
              <w:spacing w:after="0" w:before="0" w:lineRule="auto"/>
              <w:ind w:left="270" w:firstLine="0"/>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Adequate hematologic and end-organ function, defined by the following laboratory results obtained within 14 days prior to randomization:</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75">
            <w:pPr>
              <w:widowControl w:val="0"/>
              <w:spacing w:after="0" w:before="0" w:lineRule="auto"/>
              <w:ind w:left="270" w:firstLine="0"/>
              <w:rPr>
                <w:rFonts w:ascii="Arial" w:cs="Arial" w:eastAsia="Arial" w:hAnsi="Arial"/>
                <w:b w:val="1"/>
                <w:i w:val="1"/>
                <w:sz w:val="20"/>
                <w:szCs w:val="20"/>
              </w:rPr>
            </w:pPr>
            <w:r w:rsidDel="00000000" w:rsidR="00000000" w:rsidRPr="00000000">
              <w:rPr>
                <w:rFonts w:ascii="Arial" w:cs="Arial" w:eastAsia="Arial" w:hAnsi="Arial"/>
                <w:i w:val="1"/>
                <w:sz w:val="20"/>
                <w:szCs w:val="20"/>
                <w:rtl w:val="0"/>
              </w:rPr>
              <w:t xml:space="preserve">Adequate hematologic and end-organ function, defined by the following laboratory results obtained within 14 days prior to randomization:</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76">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See the following 8 rows. </w:t>
            </w:r>
          </w:p>
          <w:p w:rsidR="00000000" w:rsidDel="00000000" w:rsidP="00000000" w:rsidRDefault="00000000" w:rsidRPr="00000000" w14:paraId="00000077">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Adequate hematological and end-organ function at start of index therapy. For all of the above labs, the closest result in the -28 to 0 window around 1L start will be used. Patients with no recorded results for a specific lab in that time window will not be excluded.</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78">
            <w:pPr>
              <w:widowControl w:val="0"/>
              <w:numPr>
                <w:ilvl w:val="0"/>
                <w:numId w:val="6"/>
              </w:numPr>
              <w:spacing w:after="0" w:before="0" w:lineRule="auto"/>
              <w:ind w:left="720" w:hanging="36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ANC ≥1500 cells/μL without granulocyte colony-stimulating factor support </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79">
            <w:pPr>
              <w:widowControl w:val="0"/>
              <w:numPr>
                <w:ilvl w:val="0"/>
                <w:numId w:val="6"/>
              </w:numPr>
              <w:spacing w:after="0" w:before="0" w:lineRule="auto"/>
              <w:ind w:left="720" w:hanging="36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ANC ≥1500 cells/μL without granulocyte colony-stimulating factor support </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7A">
            <w:pPr>
              <w:widowControl w:val="0"/>
              <w:numPr>
                <w:ilvl w:val="0"/>
                <w:numId w:val="6"/>
              </w:numPr>
              <w:spacing w:after="0" w:before="0" w:lineRule="auto"/>
              <w:ind w:left="720" w:hanging="36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ANC ≥1500 cells/μL without granulocyte colony-stimulating factor support </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7B">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Implemented</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7C">
            <w:pPr>
              <w:widowControl w:val="0"/>
              <w:numPr>
                <w:ilvl w:val="0"/>
                <w:numId w:val="1"/>
              </w:numPr>
              <w:spacing w:after="0" w:before="0" w:lineRule="auto"/>
              <w:ind w:left="720" w:hanging="36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Lymphocyte count ≥500 cells/μL</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7D">
            <w:pPr>
              <w:widowControl w:val="0"/>
              <w:numPr>
                <w:ilvl w:val="0"/>
                <w:numId w:val="1"/>
              </w:numPr>
              <w:spacing w:after="0" w:before="0" w:lineRule="auto"/>
              <w:ind w:left="720" w:hanging="36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Lymphocyte count ≥500 cells/μL</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7E">
            <w:pPr>
              <w:widowControl w:val="0"/>
              <w:numPr>
                <w:ilvl w:val="0"/>
                <w:numId w:val="1"/>
              </w:numPr>
              <w:spacing w:after="0" w:before="0" w:lineRule="auto"/>
              <w:ind w:left="720" w:hanging="36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Lymphocyte count ≥500 cells/μL</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7F">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Implemented</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80">
            <w:pPr>
              <w:widowControl w:val="0"/>
              <w:numPr>
                <w:ilvl w:val="0"/>
                <w:numId w:val="4"/>
              </w:numPr>
              <w:spacing w:after="0" w:before="0" w:lineRule="auto"/>
              <w:ind w:left="720" w:hanging="36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Platelet count ≥100,000 cells/μL without transfusion</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81">
            <w:pPr>
              <w:widowControl w:val="0"/>
              <w:numPr>
                <w:ilvl w:val="0"/>
                <w:numId w:val="4"/>
              </w:numPr>
              <w:spacing w:after="0" w:before="0" w:lineRule="auto"/>
              <w:ind w:left="720" w:hanging="36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Platelet count ≥100,000 cells/μL without transfusion</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82">
            <w:pPr>
              <w:widowControl w:val="0"/>
              <w:numPr>
                <w:ilvl w:val="0"/>
                <w:numId w:val="4"/>
              </w:numPr>
              <w:spacing w:after="0" w:before="0" w:lineRule="auto"/>
              <w:ind w:left="720" w:hanging="36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Platelet count ≥100,000 cells/μL without transfusion</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83">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Implemented</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84">
            <w:pPr>
              <w:widowControl w:val="0"/>
              <w:numPr>
                <w:ilvl w:val="0"/>
                <w:numId w:val="5"/>
              </w:numPr>
              <w:spacing w:after="0" w:before="0" w:lineRule="auto"/>
              <w:ind w:left="720" w:hanging="36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Hemoglobin ≥9.0 g/dL</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85">
            <w:pPr>
              <w:widowControl w:val="0"/>
              <w:numPr>
                <w:ilvl w:val="0"/>
                <w:numId w:val="5"/>
              </w:numPr>
              <w:spacing w:after="0" w:before="0" w:lineRule="auto"/>
              <w:ind w:left="720" w:hanging="36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Hemoglobin ≥9.0 g/dL</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86">
            <w:pPr>
              <w:widowControl w:val="0"/>
              <w:numPr>
                <w:ilvl w:val="0"/>
                <w:numId w:val="5"/>
              </w:numPr>
              <w:spacing w:after="0" w:before="0" w:lineRule="auto"/>
              <w:ind w:left="720" w:hanging="36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Hemoglobin ≥9.0 g/dL</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87">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Implemented</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88">
            <w:pPr>
              <w:widowControl w:val="0"/>
              <w:numPr>
                <w:ilvl w:val="0"/>
                <w:numId w:val="16"/>
              </w:numPr>
              <w:spacing w:after="0" w:before="0" w:lineRule="auto"/>
              <w:ind w:left="720" w:hanging="36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INR or aPTT ≤1.5 x ULN</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89">
            <w:pPr>
              <w:widowControl w:val="0"/>
              <w:numPr>
                <w:ilvl w:val="0"/>
                <w:numId w:val="16"/>
              </w:numPr>
              <w:spacing w:after="0" w:before="0" w:lineRule="auto"/>
              <w:ind w:left="720" w:hanging="36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INR or aPTT ≤1.5 x ULN</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8A">
            <w:pPr>
              <w:widowControl w:val="0"/>
              <w:numPr>
                <w:ilvl w:val="0"/>
                <w:numId w:val="16"/>
              </w:numPr>
              <w:spacing w:after="0" w:before="0" w:lineRule="auto"/>
              <w:ind w:left="720" w:hanging="36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INR or aPTT ≤1.5 x ULN</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8B">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08C">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(Highly missing)</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8D">
            <w:pPr>
              <w:widowControl w:val="0"/>
              <w:numPr>
                <w:ilvl w:val="0"/>
                <w:numId w:val="2"/>
              </w:numPr>
              <w:spacing w:after="0" w:before="0" w:lineRule="auto"/>
              <w:ind w:left="720" w:hanging="36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AST, ALT, and alkaline phosphatase ≤2.5 x ULN with the following exceptions:</w:t>
            </w:r>
            <w:r w:rsidDel="00000000" w:rsidR="00000000" w:rsidRPr="00000000">
              <w:rPr>
                <w:rtl w:val="0"/>
              </w:rPr>
            </w:r>
          </w:p>
          <w:p w:rsidR="00000000" w:rsidDel="00000000" w:rsidP="00000000" w:rsidRDefault="00000000" w:rsidRPr="00000000" w14:paraId="0000008E">
            <w:pPr>
              <w:widowControl w:val="0"/>
              <w:spacing w:after="0" w:before="0" w:lineRule="auto"/>
              <w:ind w:left="720" w:firstLine="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Patients with documented liver metastases: AST and/or ALT ≤5 x ULN;</w:t>
            </w:r>
            <w:r w:rsidDel="00000000" w:rsidR="00000000" w:rsidRPr="00000000">
              <w:rPr>
                <w:rtl w:val="0"/>
              </w:rPr>
            </w:r>
          </w:p>
          <w:p w:rsidR="00000000" w:rsidDel="00000000" w:rsidP="00000000" w:rsidRDefault="00000000" w:rsidRPr="00000000" w14:paraId="0000008F">
            <w:pPr>
              <w:widowControl w:val="0"/>
              <w:spacing w:after="0" w:before="0" w:lineRule="auto"/>
              <w:ind w:left="720" w:firstLine="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Patients with documented liver or bone metastases: alkaline phosphatase ≤5 x ULN</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90">
            <w:pPr>
              <w:widowControl w:val="0"/>
              <w:numPr>
                <w:ilvl w:val="0"/>
                <w:numId w:val="2"/>
              </w:numPr>
              <w:spacing w:after="0" w:before="0" w:lineRule="auto"/>
              <w:ind w:left="720" w:hanging="36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AST, ALT, and alkaline phosphatase ≤2.5 x ULN with the following exceptions:</w:t>
            </w:r>
            <w:r w:rsidDel="00000000" w:rsidR="00000000" w:rsidRPr="00000000">
              <w:rPr>
                <w:rtl w:val="0"/>
              </w:rPr>
            </w:r>
          </w:p>
          <w:p w:rsidR="00000000" w:rsidDel="00000000" w:rsidP="00000000" w:rsidRDefault="00000000" w:rsidRPr="00000000" w14:paraId="00000091">
            <w:pPr>
              <w:widowControl w:val="0"/>
              <w:spacing w:after="0" w:before="0" w:lineRule="auto"/>
              <w:ind w:left="720" w:firstLine="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Patients with documented liver metastases: AST and/or ALT ≤5 x ULN;</w:t>
            </w:r>
            <w:r w:rsidDel="00000000" w:rsidR="00000000" w:rsidRPr="00000000">
              <w:rPr>
                <w:rtl w:val="0"/>
              </w:rPr>
            </w:r>
          </w:p>
          <w:p w:rsidR="00000000" w:rsidDel="00000000" w:rsidP="00000000" w:rsidRDefault="00000000" w:rsidRPr="00000000" w14:paraId="00000092">
            <w:pPr>
              <w:widowControl w:val="0"/>
              <w:spacing w:after="0" w:before="0" w:lineRule="auto"/>
              <w:ind w:left="720" w:firstLine="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Patients with documented liver or bone metastases: alkaline phosphatase ≤5 x ULN</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93">
            <w:pPr>
              <w:widowControl w:val="0"/>
              <w:numPr>
                <w:ilvl w:val="0"/>
                <w:numId w:val="2"/>
              </w:numPr>
              <w:spacing w:after="0" w:before="0" w:lineRule="auto"/>
              <w:ind w:left="720" w:hanging="36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AST, ALT, and alkaline phosphatase ≤2.5 x ULN with the following exceptions:</w:t>
            </w:r>
            <w:r w:rsidDel="00000000" w:rsidR="00000000" w:rsidRPr="00000000">
              <w:rPr>
                <w:rtl w:val="0"/>
              </w:rPr>
            </w:r>
          </w:p>
          <w:p w:rsidR="00000000" w:rsidDel="00000000" w:rsidP="00000000" w:rsidRDefault="00000000" w:rsidRPr="00000000" w14:paraId="00000094">
            <w:pPr>
              <w:widowControl w:val="0"/>
              <w:spacing w:after="0" w:before="0" w:lineRule="auto"/>
              <w:ind w:left="720" w:firstLine="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Patients with documented liver metastases: AST and/or ALT ≤5 x ULN;</w:t>
            </w:r>
            <w:r w:rsidDel="00000000" w:rsidR="00000000" w:rsidRPr="00000000">
              <w:rPr>
                <w:rtl w:val="0"/>
              </w:rPr>
            </w:r>
          </w:p>
          <w:p w:rsidR="00000000" w:rsidDel="00000000" w:rsidP="00000000" w:rsidRDefault="00000000" w:rsidRPr="00000000" w14:paraId="00000095">
            <w:pPr>
              <w:widowControl w:val="0"/>
              <w:spacing w:after="0" w:before="0" w:lineRule="auto"/>
              <w:ind w:left="720" w:firstLine="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Patients with documented liver or bone metastases: alkaline phosphatase ≤5 x ULN</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96">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Implemented</w:t>
            </w:r>
          </w:p>
          <w:p w:rsidR="00000000" w:rsidDel="00000000" w:rsidP="00000000" w:rsidRDefault="00000000" w:rsidRPr="00000000" w14:paraId="00000097">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(Same, though will not consider the exceptions)</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98">
            <w:pPr>
              <w:widowControl w:val="0"/>
              <w:numPr>
                <w:ilvl w:val="0"/>
                <w:numId w:val="12"/>
              </w:numPr>
              <w:spacing w:after="0" w:before="0" w:lineRule="auto"/>
              <w:ind w:left="720" w:hanging="36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Serum bilirubin ≤1.5 x ULN</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99">
            <w:pPr>
              <w:widowControl w:val="0"/>
              <w:numPr>
                <w:ilvl w:val="0"/>
                <w:numId w:val="12"/>
              </w:numPr>
              <w:spacing w:after="0" w:before="0" w:lineRule="auto"/>
              <w:ind w:left="720" w:hanging="36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Serum bilirubin ≤1.5 x ULN</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9A">
            <w:pPr>
              <w:widowControl w:val="0"/>
              <w:numPr>
                <w:ilvl w:val="0"/>
                <w:numId w:val="12"/>
              </w:numPr>
              <w:spacing w:after="0" w:before="0" w:lineRule="auto"/>
              <w:ind w:left="720" w:hanging="36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Serum bilirubin ≤</w:t>
            </w:r>
            <w:r w:rsidDel="00000000" w:rsidR="00000000" w:rsidRPr="00000000">
              <w:rPr>
                <w:rFonts w:ascii="Arimo" w:cs="Arimo" w:eastAsia="Arimo" w:hAnsi="Arimo"/>
                <w:b w:val="1"/>
                <w:i w:val="1"/>
                <w:sz w:val="20"/>
                <w:szCs w:val="20"/>
                <w:rtl w:val="0"/>
              </w:rPr>
              <w:t xml:space="preserve">1.25</w:t>
            </w:r>
            <w:r w:rsidDel="00000000" w:rsidR="00000000" w:rsidRPr="00000000">
              <w:rPr>
                <w:rFonts w:ascii="Arimo" w:cs="Arimo" w:eastAsia="Arimo" w:hAnsi="Arimo"/>
                <w:i w:val="1"/>
                <w:sz w:val="20"/>
                <w:szCs w:val="20"/>
                <w:rtl w:val="0"/>
              </w:rPr>
              <w:t xml:space="preserve"> x ULN</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9B">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Implemented</w:t>
            </w:r>
          </w:p>
          <w:p w:rsidR="00000000" w:rsidDel="00000000" w:rsidP="00000000" w:rsidRDefault="00000000" w:rsidRPr="00000000" w14:paraId="0000009C">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r w:rsidDel="00000000" w:rsidR="00000000" w:rsidRPr="00000000">
              <w:rPr>
                <w:rFonts w:ascii="Arial Unicode MS" w:cs="Arial Unicode MS" w:eastAsia="Arial Unicode MS" w:hAnsi="Arial Unicode MS"/>
                <w:i w:val="1"/>
                <w:sz w:val="20"/>
                <w:szCs w:val="20"/>
                <w:rtl w:val="0"/>
              </w:rPr>
              <w:t xml:space="preserve">≤1.5 x ULN</w:t>
            </w:r>
            <w:r w:rsidDel="00000000" w:rsidR="00000000" w:rsidRPr="00000000">
              <w:rPr>
                <w:rFonts w:ascii="Arial" w:cs="Arial" w:eastAsia="Arial" w:hAnsi="Arial"/>
                <w:i w:val="1"/>
                <w:sz w:val="20"/>
                <w:szCs w:val="20"/>
                <w:rtl w:val="0"/>
              </w:rPr>
              <w:t xml:space="preserv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9D">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N/A</w:t>
            </w:r>
          </w:p>
        </w:tc>
        <w:tc>
          <w:tcPr>
            <w:tcMar>
              <w:top w:w="100.0" w:type="dxa"/>
              <w:left w:w="100.0" w:type="dxa"/>
              <w:bottom w:w="100.0" w:type="dxa"/>
              <w:right w:w="100.0" w:type="dxa"/>
            </w:tcMar>
            <w:vAlign w:val="center"/>
          </w:tcPr>
          <w:p w:rsidR="00000000" w:rsidDel="00000000" w:rsidP="00000000" w:rsidRDefault="00000000" w:rsidRPr="00000000" w14:paraId="0000009E">
            <w:pPr>
              <w:widowControl w:val="0"/>
              <w:numPr>
                <w:ilvl w:val="0"/>
                <w:numId w:val="7"/>
              </w:numPr>
              <w:spacing w:after="0" w:before="0" w:lineRule="auto"/>
              <w:ind w:left="720" w:hanging="36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Calculated CrCl ≥45 mL/min, or if using cisplatin, calculated CrCl ≥60 mL/min</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9F">
            <w:pPr>
              <w:widowControl w:val="0"/>
              <w:numPr>
                <w:ilvl w:val="0"/>
                <w:numId w:val="7"/>
              </w:numPr>
              <w:spacing w:after="0" w:before="0" w:lineRule="auto"/>
              <w:ind w:left="720" w:hanging="36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Calculated creatinine clearance (CrCl) ≥45 mL/min, or if using cisplatin, calculated CrCl ≥60 mL/min</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A0">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A1">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NA</w:t>
            </w:r>
          </w:p>
        </w:tc>
        <w:tc>
          <w:tcPr>
            <w:tcMar>
              <w:top w:w="100.0" w:type="dxa"/>
              <w:left w:w="100.0" w:type="dxa"/>
              <w:bottom w:w="100.0" w:type="dxa"/>
              <w:right w:w="100.0" w:type="dxa"/>
            </w:tcMar>
            <w:vAlign w:val="center"/>
          </w:tcPr>
          <w:p w:rsidR="00000000" w:rsidDel="00000000" w:rsidP="00000000" w:rsidRDefault="00000000" w:rsidRPr="00000000" w14:paraId="000000A2">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NA</w:t>
            </w:r>
          </w:p>
        </w:tc>
        <w:tc>
          <w:tcPr>
            <w:tcMar>
              <w:top w:w="100.0" w:type="dxa"/>
              <w:left w:w="100.0" w:type="dxa"/>
              <w:bottom w:w="100.0" w:type="dxa"/>
              <w:right w:w="100.0" w:type="dxa"/>
            </w:tcMar>
            <w:vAlign w:val="center"/>
          </w:tcPr>
          <w:p w:rsidR="00000000" w:rsidDel="00000000" w:rsidP="00000000" w:rsidRDefault="00000000" w:rsidRPr="00000000" w14:paraId="000000A3">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 patients enrolled in the extended China enrollment phase: current resident of</w:t>
            </w:r>
          </w:p>
          <w:p w:rsidR="00000000" w:rsidDel="00000000" w:rsidP="00000000" w:rsidRDefault="00000000" w:rsidRPr="00000000" w14:paraId="000000A4">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mainland China, Hong Kong, or Taiwan and of Chinese ancestry</w:t>
            </w:r>
          </w:p>
        </w:tc>
        <w:tc>
          <w:tcPr>
            <w:tcMar>
              <w:top w:w="100.0" w:type="dxa"/>
              <w:left w:w="100.0" w:type="dxa"/>
              <w:bottom w:w="100.0" w:type="dxa"/>
              <w:right w:w="100.0" w:type="dxa"/>
            </w:tcMar>
            <w:vAlign w:val="center"/>
          </w:tcPr>
          <w:p w:rsidR="00000000" w:rsidDel="00000000" w:rsidP="00000000" w:rsidRDefault="00000000" w:rsidRPr="00000000" w14:paraId="000000A5">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0A6">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in real-world database)</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A7">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 female patients of childbearing potential and male patients with partners of childbearing potential, agreement (by patient and/or partner) to use a highly effective form(s) of contraception that results in a low failure rate [&lt; 1% per year] when used consistently and correctly, and to continue its use for </w:t>
            </w:r>
            <w:r w:rsidDel="00000000" w:rsidR="00000000" w:rsidRPr="00000000">
              <w:rPr>
                <w:rFonts w:ascii="Arial" w:cs="Arial" w:eastAsia="Arial" w:hAnsi="Arial"/>
                <w:b w:val="1"/>
                <w:i w:val="1"/>
                <w:sz w:val="20"/>
                <w:szCs w:val="20"/>
                <w:rtl w:val="0"/>
              </w:rPr>
              <w:t xml:space="preserve">90 days</w:t>
            </w:r>
            <w:r w:rsidDel="00000000" w:rsidR="00000000" w:rsidRPr="00000000">
              <w:rPr>
                <w:rFonts w:ascii="Arial" w:cs="Arial" w:eastAsia="Arial" w:hAnsi="Arial"/>
                <w:i w:val="1"/>
                <w:sz w:val="20"/>
                <w:szCs w:val="20"/>
                <w:rtl w:val="0"/>
              </w:rPr>
              <w:t xml:space="preserve"> after the last dose of atezolizumab or for 30 days after the last dose of nab-paclitaxel, whichever is later. For male patients with female partners of childbearing potential, agreement (by patient and/or partner) to use a highly effective form(s) of contraception that results in a low failure rate [&lt; 1% per year] when used consistently and correctly, and to continue its use for 90 days after the last dose of atezolizumab or for 6 months after the last dose of nab-paclitaxel, whichever is later. Such methods include: combined(estrogen and progestogen containing) hormonal contraception, progestogen-only hormonal contraception associated with inhibition of ovulation together with another additional barrier method always containing a spermicide, intrauterine device (IUD), intrauterine hormone -releasing system (IUS), bilateral tubal occlusion or vasectomized partner (on the understanding that this is the only one partner during the whole study duration), and sexual abstinence. Male patients should not donate sperm during this study and for at least 6 months after the last dose of nab-paclitaxel.</w:t>
            </w:r>
          </w:p>
        </w:tc>
        <w:tc>
          <w:tcPr>
            <w:tcMar>
              <w:top w:w="100.0" w:type="dxa"/>
              <w:left w:w="100.0" w:type="dxa"/>
              <w:bottom w:w="100.0" w:type="dxa"/>
              <w:right w:w="100.0" w:type="dxa"/>
            </w:tcMar>
            <w:vAlign w:val="center"/>
          </w:tcPr>
          <w:p w:rsidR="00000000" w:rsidDel="00000000" w:rsidP="00000000" w:rsidRDefault="00000000" w:rsidRPr="00000000" w14:paraId="000000A8">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 female patients of childbearing potential, agreement (by patient and/or partner) to use a highly effective form(s) of contraception that results in a low failure rate (&lt; 1% per year) when used consistently and correctly, and to continue its use for </w:t>
            </w:r>
            <w:r w:rsidDel="00000000" w:rsidR="00000000" w:rsidRPr="00000000">
              <w:rPr>
                <w:rFonts w:ascii="Arial" w:cs="Arial" w:eastAsia="Arial" w:hAnsi="Arial"/>
                <w:b w:val="1"/>
                <w:i w:val="1"/>
                <w:sz w:val="20"/>
                <w:szCs w:val="20"/>
                <w:rtl w:val="0"/>
              </w:rPr>
              <w:t xml:space="preserve">5 months </w:t>
            </w:r>
            <w:r w:rsidDel="00000000" w:rsidR="00000000" w:rsidRPr="00000000">
              <w:rPr>
                <w:rFonts w:ascii="Arial" w:cs="Arial" w:eastAsia="Arial" w:hAnsi="Arial"/>
                <w:i w:val="1"/>
                <w:sz w:val="20"/>
                <w:szCs w:val="20"/>
                <w:rtl w:val="0"/>
              </w:rPr>
              <w:t xml:space="preserve">after the last dose of atezolizumab, for 30 days after the last dose of nab-paclitaxel, or for 6 months after the last dose of paclitaxel, whichever is later. Women must refrain from donating eggs during this same period. For male patients with female partners of childbearing potential, agreement (by patient and/or partner) to use a highly effective form(s) of contraception that results in a low failure rate (&lt; 1% per year) when used consistently and correctly, and to continue its use for 6 months after the last dose of nab-paclitaxel, paclitaxel, and/or carboplatin. Such methods include combined (estrogen and progestogen containing) hormonal contraception, progestogen-only hormonal contraception associated with inhibition of ovulation together with another additional barrier method always containing a spermicide, intrauterine device (IUD), intrauterine hormone-releasing system (IUS), bilateral tubal occlusion or vasectomized partner (on the understanding that this is the only one partner during the whole study duration), and sexual abstinence. Men must refrain from donating sperm during the study and for 6 months after the last dose of nab-paclitaxel, paclitaxel, and/or carboplatin, whichever is latest.</w:t>
            </w:r>
          </w:p>
        </w:tc>
        <w:tc>
          <w:tcPr>
            <w:vMerge w:val="restart"/>
            <w:tcMar>
              <w:top w:w="100.0" w:type="dxa"/>
              <w:left w:w="100.0" w:type="dxa"/>
              <w:bottom w:w="100.0" w:type="dxa"/>
              <w:right w:w="100.0" w:type="dxa"/>
            </w:tcMar>
            <w:vAlign w:val="center"/>
          </w:tcPr>
          <w:p w:rsidR="00000000" w:rsidDel="00000000" w:rsidP="00000000" w:rsidRDefault="00000000" w:rsidRPr="00000000" w14:paraId="000000A9">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 women of childbearing potential: agreement to remain abstinent (refrain from heterosexual intercourse) or use contraceptive methods that result in a failure rate of  1% per year during the treatment period and for at least 5 months after the last dose of atezolizumab or 6 months after the last dose of cisplatin.</w:t>
            </w:r>
          </w:p>
          <w:p w:rsidR="00000000" w:rsidDel="00000000" w:rsidP="00000000" w:rsidRDefault="00000000" w:rsidRPr="00000000" w14:paraId="000000AA">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 woman was considered to be of childbearing potential if she was postmenarcheal, had not reached a postmenopausal state ( 12 continuous months of amenorrhea with no identified cause other than menopause), and had not undergone surgical sterilization (removal of ovaries and/or uterus).</w:t>
            </w:r>
          </w:p>
          <w:p w:rsidR="00000000" w:rsidDel="00000000" w:rsidP="00000000" w:rsidRDefault="00000000" w:rsidRPr="00000000" w14:paraId="000000AB">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Examples of non-hormonal contraceptive methods with a failure rate of</w:t>
            </w:r>
          </w:p>
          <w:p w:rsidR="00000000" w:rsidDel="00000000" w:rsidP="00000000" w:rsidRDefault="00000000" w:rsidRPr="00000000" w14:paraId="000000AC">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&lt; 1% per year included bilateral tubal ligation, male sterilization, established, proper use of hormonal contraceptives that inhibit ovulation, hormone-releasing intrauterine devices, and copper intrauterine devices.</w:t>
            </w:r>
          </w:p>
          <w:p w:rsidR="00000000" w:rsidDel="00000000" w:rsidP="00000000" w:rsidRDefault="00000000" w:rsidRPr="00000000" w14:paraId="000000AD">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The reliability of sexual abstinence was to be evaluated in relation to the duration of the clinical trial and the preferred and usual lifestyle of the patient. Periodic abstinence (e.g., calendar, ovulation, symptothermal, or postovulation methods) and withdrawal were not acceptable methods of contraception.</w:t>
            </w:r>
          </w:p>
          <w:p w:rsidR="00000000" w:rsidDel="00000000" w:rsidP="00000000" w:rsidRDefault="00000000" w:rsidRPr="00000000" w14:paraId="000000AE">
            <w:pPr>
              <w:widowControl w:val="0"/>
              <w:spacing w:after="0" w:before="0" w:lineRule="auto"/>
              <w:ind w:left="270"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AF">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 men: agreement to remain abstinent (refrain from heterosexual intercourse) or use contraceptive measures and agreement to refrain from donating sperm, as defined below:</w:t>
            </w:r>
          </w:p>
          <w:p w:rsidR="00000000" w:rsidDel="00000000" w:rsidP="00000000" w:rsidRDefault="00000000" w:rsidRPr="00000000" w14:paraId="000000B0">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With partners of childbearing potential, men were to remain abstinent or use a condom plus an additional contraceptive method that together resulted in a failure rate of 1% per year during the chemotherapy treatment period and for at least 6 months after the last dose of chemotherapy.</w:t>
            </w:r>
          </w:p>
          <w:p w:rsidR="00000000" w:rsidDel="00000000" w:rsidP="00000000" w:rsidRDefault="00000000" w:rsidRPr="00000000" w14:paraId="000000B1">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With pregnant partners, men were to remain abstinent or use a condom during the chemotherapy treatment period and for at least 6 months after the last dose of chemotherapy.</w:t>
            </w:r>
          </w:p>
          <w:p w:rsidR="00000000" w:rsidDel="00000000" w:rsidP="00000000" w:rsidRDefault="00000000" w:rsidRPr="00000000" w14:paraId="000000B2">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The reliability of sexual abstinence was to be evaluated in relation to the duration of the clinical trial and the preferred and usual lifestyle of the patient. Periodic abstinence (e.g., calendar, ovulation, symptothermal, or postovulation methods) and withdrawal were not acceptable methods of contraception.</w:t>
            </w:r>
          </w:p>
        </w:tc>
        <w:tc>
          <w:tcPr>
            <w:tcMar>
              <w:top w:w="100.0" w:type="dxa"/>
              <w:left w:w="100.0" w:type="dxa"/>
              <w:bottom w:w="100.0" w:type="dxa"/>
              <w:right w:w="100.0" w:type="dxa"/>
            </w:tcMar>
            <w:vAlign w:val="center"/>
          </w:tcPr>
          <w:p w:rsidR="00000000" w:rsidDel="00000000" w:rsidP="00000000" w:rsidRDefault="00000000" w:rsidRPr="00000000" w14:paraId="000000B3">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w:t>
            </w:r>
          </w:p>
          <w:p w:rsidR="00000000" w:rsidDel="00000000" w:rsidP="00000000" w:rsidRDefault="00000000" w:rsidRPr="00000000" w14:paraId="000000B4">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in real-world database)</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B5">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Oral contraception should always be combined with an additional contraceptive method because of a potential interaction with the study drug. The same rules are valid for male patients involved in this clinical study if they have a partner of childbirth potential. Male patients must always use a condom.</w:t>
            </w:r>
          </w:p>
        </w:tc>
        <w:tc>
          <w:tcPr>
            <w:tcMar>
              <w:top w:w="100.0" w:type="dxa"/>
              <w:left w:w="100.0" w:type="dxa"/>
              <w:bottom w:w="100.0" w:type="dxa"/>
              <w:right w:w="100.0" w:type="dxa"/>
            </w:tcMar>
            <w:vAlign w:val="center"/>
          </w:tcPr>
          <w:p w:rsidR="00000000" w:rsidDel="00000000" w:rsidP="00000000" w:rsidRDefault="00000000" w:rsidRPr="00000000" w14:paraId="000000B6">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Oral contraception should always be combined with an additional contraceptive method because of a potential interaction with the study drug. The same rules are valid for male patients involved in this clinical trial if they have a partner of childbearing potential. Male patients must always use a condom.</w:t>
            </w:r>
          </w:p>
        </w:tc>
        <w:tc>
          <w:tcPr>
            <w:vMerge w:val="continue"/>
            <w:tcMar>
              <w:top w:w="100.0" w:type="dxa"/>
              <w:left w:w="100.0" w:type="dxa"/>
              <w:bottom w:w="100.0" w:type="dxa"/>
              <w:right w:w="100.0" w:type="dxa"/>
            </w:tcMar>
            <w:vAlign w:val="center"/>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B8">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0B9">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in real-world database)</w:t>
            </w:r>
          </w:p>
        </w:tc>
      </w:tr>
      <w:tr>
        <w:trPr>
          <w:cantSplit w:val="0"/>
          <w:trHeight w:val="400"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BA">
            <w:pPr>
              <w:widowControl w:val="0"/>
              <w:spacing w:after="0" w:before="0" w:lineRule="auto"/>
              <w:ind w:left="270" w:firstLine="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Women who are not postmenopausal (≥12 months of non-therapy-induced amenorrhea) or surgically sterile must have a negative serum pregnancy test result within 14 days prior to initiation of study drug.</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BB">
            <w:pPr>
              <w:widowControl w:val="0"/>
              <w:spacing w:after="0" w:before="0" w:lineRule="auto"/>
              <w:ind w:left="270" w:firstLine="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Women who are not postmenopausal (≥12 months of non-therapy induced amenorrhea) or surgically sterile must have a negative serum pregnancy test result within 14 days prior to initiation of study drug.</w:t>
            </w:r>
            <w:r w:rsidDel="00000000" w:rsidR="00000000" w:rsidRPr="00000000">
              <w:rPr>
                <w:rtl w:val="0"/>
              </w:rPr>
            </w:r>
          </w:p>
        </w:tc>
        <w:tc>
          <w:tcPr>
            <w:vMerge w:val="continue"/>
            <w:tcMar>
              <w:top w:w="100.0" w:type="dxa"/>
              <w:left w:w="100.0" w:type="dxa"/>
              <w:bottom w:w="100.0" w:type="dxa"/>
              <w:right w:w="100.0" w:type="dxa"/>
            </w:tcMar>
            <w:vAlign w:val="cente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20"/>
                <w:szCs w:val="20"/>
              </w:rPr>
            </w:pP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0BD">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0BE">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in real-world database)</w:t>
            </w:r>
          </w:p>
        </w:tc>
      </w:tr>
      <w:tr>
        <w:trPr>
          <w:cantSplit w:val="0"/>
          <w:trHeight w:val="400" w:hRule="atLeast"/>
          <w:tblHeader w:val="0"/>
        </w:trPr>
        <w:tc>
          <w:tcPr>
            <w:gridSpan w:val="4"/>
            <w:tcMar>
              <w:top w:w="100.0" w:type="dxa"/>
              <w:left w:w="100.0" w:type="dxa"/>
              <w:bottom w:w="100.0" w:type="dxa"/>
              <w:right w:w="100.0" w:type="dxa"/>
            </w:tcMar>
            <w:vAlign w:val="center"/>
          </w:tcPr>
          <w:p w:rsidR="00000000" w:rsidDel="00000000" w:rsidP="00000000" w:rsidRDefault="00000000" w:rsidRPr="00000000" w14:paraId="000000BF">
            <w:pPr>
              <w:widowControl w:val="0"/>
              <w:spacing w:after="0" w:before="0" w:lineRule="auto"/>
              <w:ind w:left="270" w:firstLine="0"/>
              <w:rPr>
                <w:rFonts w:ascii="Arial" w:cs="Arial" w:eastAsia="Arial" w:hAnsi="Arial"/>
                <w:i w:val="1"/>
                <w:sz w:val="20"/>
                <w:szCs w:val="20"/>
              </w:rPr>
            </w:pPr>
            <w:r w:rsidDel="00000000" w:rsidR="00000000" w:rsidRPr="00000000">
              <w:rPr>
                <w:rtl w:val="0"/>
              </w:rPr>
            </w:r>
          </w:p>
        </w:tc>
      </w:tr>
      <w:tr>
        <w:trPr>
          <w:cantSplit w:val="0"/>
          <w:trHeight w:val="400" w:hRule="atLeast"/>
          <w:tblHeader w:val="0"/>
        </w:trPr>
        <w:tc>
          <w:tcPr>
            <w:gridSpan w:val="4"/>
            <w:tcMar>
              <w:top w:w="100.0" w:type="dxa"/>
              <w:left w:w="100.0" w:type="dxa"/>
              <w:bottom w:w="100.0" w:type="dxa"/>
              <w:right w:w="100.0" w:type="dxa"/>
            </w:tcMar>
            <w:vAlign w:val="center"/>
          </w:tcPr>
          <w:p w:rsidR="00000000" w:rsidDel="00000000" w:rsidP="00000000" w:rsidRDefault="00000000" w:rsidRPr="00000000" w14:paraId="000000C3">
            <w:pPr>
              <w:widowControl w:val="0"/>
              <w:spacing w:after="0" w:before="0" w:lineRule="auto"/>
              <w:ind w:left="270" w:firstLine="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Exclusion</w:t>
            </w:r>
          </w:p>
        </w:tc>
      </w:tr>
      <w:tr>
        <w:trPr>
          <w:cantSplit w:val="0"/>
          <w:trHeight w:val="400" w:hRule="atLeast"/>
          <w:tblHeader w:val="0"/>
        </w:trPr>
        <w:tc>
          <w:tcPr>
            <w:gridSpan w:val="4"/>
            <w:tcMar>
              <w:top w:w="100.0" w:type="dxa"/>
              <w:left w:w="100.0" w:type="dxa"/>
              <w:bottom w:w="100.0" w:type="dxa"/>
              <w:right w:w="100.0" w:type="dxa"/>
            </w:tcMar>
            <w:vAlign w:val="center"/>
          </w:tcPr>
          <w:p w:rsidR="00000000" w:rsidDel="00000000" w:rsidP="00000000" w:rsidRDefault="00000000" w:rsidRPr="00000000" w14:paraId="000000C7">
            <w:pPr>
              <w:widowControl w:val="0"/>
              <w:spacing w:after="0" w:before="0" w:lineRule="auto"/>
              <w:ind w:left="270" w:firstLine="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Cancer-Specific Exclusions</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CB">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Known tumor PD-L1 expression status as determined by an IHC assay from other clinical studies</w:t>
            </w:r>
          </w:p>
        </w:tc>
        <w:tc>
          <w:tcPr>
            <w:tcMar>
              <w:top w:w="100.0" w:type="dxa"/>
              <w:left w:w="100.0" w:type="dxa"/>
              <w:bottom w:w="100.0" w:type="dxa"/>
              <w:right w:w="100.0" w:type="dxa"/>
            </w:tcMar>
            <w:vAlign w:val="center"/>
          </w:tcPr>
          <w:p w:rsidR="00000000" w:rsidDel="00000000" w:rsidP="00000000" w:rsidRDefault="00000000" w:rsidRPr="00000000" w14:paraId="000000CC">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Known tumor PD-L1 expression status as determined by an IHC assay from other clinical studies</w:t>
            </w:r>
          </w:p>
        </w:tc>
        <w:tc>
          <w:tcPr>
            <w:tcMar>
              <w:top w:w="100.0" w:type="dxa"/>
              <w:left w:w="100.0" w:type="dxa"/>
              <w:bottom w:w="100.0" w:type="dxa"/>
              <w:right w:w="100.0" w:type="dxa"/>
            </w:tcMar>
            <w:vAlign w:val="center"/>
          </w:tcPr>
          <w:p w:rsidR="00000000" w:rsidDel="00000000" w:rsidP="00000000" w:rsidRDefault="00000000" w:rsidRPr="00000000" w14:paraId="000000CD">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Known tumor PD-L1 expression status as determined by an IHC assay from other clinical studies</w:t>
            </w:r>
          </w:p>
        </w:tc>
        <w:tc>
          <w:tcPr>
            <w:tcMar>
              <w:top w:w="100.0" w:type="dxa"/>
              <w:left w:w="100.0" w:type="dxa"/>
              <w:bottom w:w="100.0" w:type="dxa"/>
              <w:right w:w="100.0" w:type="dxa"/>
            </w:tcMar>
            <w:vAlign w:val="center"/>
          </w:tcPr>
          <w:p w:rsidR="00000000" w:rsidDel="00000000" w:rsidP="00000000" w:rsidRDefault="00000000" w:rsidRPr="00000000" w14:paraId="000000CE">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CF">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N/A</w:t>
            </w:r>
          </w:p>
        </w:tc>
        <w:tc>
          <w:tcPr>
            <w:tcMar>
              <w:top w:w="100.0" w:type="dxa"/>
              <w:left w:w="100.0" w:type="dxa"/>
              <w:bottom w:w="100.0" w:type="dxa"/>
              <w:right w:w="100.0" w:type="dxa"/>
            </w:tcMar>
            <w:vAlign w:val="center"/>
          </w:tcPr>
          <w:p w:rsidR="00000000" w:rsidDel="00000000" w:rsidP="00000000" w:rsidRDefault="00000000" w:rsidRPr="00000000" w14:paraId="000000D0">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N/A</w:t>
            </w:r>
          </w:p>
        </w:tc>
        <w:tc>
          <w:tcPr>
            <w:tcMar>
              <w:top w:w="100.0" w:type="dxa"/>
              <w:left w:w="100.0" w:type="dxa"/>
              <w:bottom w:w="100.0" w:type="dxa"/>
              <w:right w:w="100.0" w:type="dxa"/>
            </w:tcMar>
            <w:vAlign w:val="center"/>
          </w:tcPr>
          <w:p w:rsidR="00000000" w:rsidDel="00000000" w:rsidP="00000000" w:rsidRDefault="00000000" w:rsidRPr="00000000" w14:paraId="000000D1">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Patients with a sensitizing mutation in the EGFR gene or an ALK fusion oncogene</w:t>
            </w:r>
          </w:p>
        </w:tc>
        <w:tc>
          <w:tcPr>
            <w:tcMar>
              <w:top w:w="100.0" w:type="dxa"/>
              <w:left w:w="100.0" w:type="dxa"/>
              <w:bottom w:w="100.0" w:type="dxa"/>
              <w:right w:w="100.0" w:type="dxa"/>
            </w:tcMar>
            <w:vAlign w:val="center"/>
          </w:tcPr>
          <w:p w:rsidR="00000000" w:rsidDel="00000000" w:rsidP="00000000" w:rsidRDefault="00000000" w:rsidRPr="00000000" w14:paraId="000000D2">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Implemented</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D3">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Active or untreated CNS metastases as determined by CT or MRI evaluation during screening and prior radiographic assessments</w:t>
            </w:r>
          </w:p>
        </w:tc>
        <w:tc>
          <w:tcPr>
            <w:tcMar>
              <w:top w:w="100.0" w:type="dxa"/>
              <w:left w:w="100.0" w:type="dxa"/>
              <w:bottom w:w="100.0" w:type="dxa"/>
              <w:right w:w="100.0" w:type="dxa"/>
            </w:tcMar>
            <w:vAlign w:val="center"/>
          </w:tcPr>
          <w:p w:rsidR="00000000" w:rsidDel="00000000" w:rsidP="00000000" w:rsidRDefault="00000000" w:rsidRPr="00000000" w14:paraId="000000D4">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Active or untreated CNS metastases as determined by CT or MRI evaluation during screening and prior radiographic assessments</w:t>
            </w:r>
          </w:p>
        </w:tc>
        <w:tc>
          <w:tcPr>
            <w:tcMar>
              <w:top w:w="100.0" w:type="dxa"/>
              <w:left w:w="100.0" w:type="dxa"/>
              <w:bottom w:w="100.0" w:type="dxa"/>
              <w:right w:w="100.0" w:type="dxa"/>
            </w:tcMar>
            <w:vAlign w:val="center"/>
          </w:tcPr>
          <w:p w:rsidR="00000000" w:rsidDel="00000000" w:rsidP="00000000" w:rsidRDefault="00000000" w:rsidRPr="00000000" w14:paraId="000000D5">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Active or untreated CNS metastases as determined by CT or MRI evaluation during screening and prior radiographic assessments</w:t>
            </w:r>
          </w:p>
        </w:tc>
        <w:tc>
          <w:tcPr>
            <w:tcMar>
              <w:top w:w="100.0" w:type="dxa"/>
              <w:left w:w="100.0" w:type="dxa"/>
              <w:bottom w:w="100.0" w:type="dxa"/>
              <w:right w:w="100.0" w:type="dxa"/>
            </w:tcMar>
            <w:vAlign w:val="center"/>
          </w:tcPr>
          <w:p w:rsidR="00000000" w:rsidDel="00000000" w:rsidP="00000000" w:rsidRDefault="00000000" w:rsidRPr="00000000" w14:paraId="000000D6">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0D7">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in real-world database)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D8">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Spinal cord compression not definitively treated with surgery and/or radiation or previously diagnosed and treated spinal cord compression without evidence that disease has been clinically stable for &gt;2 weeks prior to randomization</w:t>
            </w:r>
          </w:p>
        </w:tc>
        <w:tc>
          <w:tcPr>
            <w:tcMar>
              <w:top w:w="100.0" w:type="dxa"/>
              <w:left w:w="100.0" w:type="dxa"/>
              <w:bottom w:w="100.0" w:type="dxa"/>
              <w:right w:w="100.0" w:type="dxa"/>
            </w:tcMar>
            <w:vAlign w:val="center"/>
          </w:tcPr>
          <w:p w:rsidR="00000000" w:rsidDel="00000000" w:rsidP="00000000" w:rsidRDefault="00000000" w:rsidRPr="00000000" w14:paraId="000000D9">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Spinal cord compression not definitively treated with surgery and/or radiation or previously diagnosed and treated spinal cord compression without evidence that disease has been clinically stable for &gt;2 weeks prior to randomization</w:t>
            </w:r>
          </w:p>
        </w:tc>
        <w:tc>
          <w:tcPr>
            <w:tcMar>
              <w:top w:w="100.0" w:type="dxa"/>
              <w:left w:w="100.0" w:type="dxa"/>
              <w:bottom w:w="100.0" w:type="dxa"/>
              <w:right w:w="100.0" w:type="dxa"/>
            </w:tcMar>
            <w:vAlign w:val="center"/>
          </w:tcPr>
          <w:p w:rsidR="00000000" w:rsidDel="00000000" w:rsidP="00000000" w:rsidRDefault="00000000" w:rsidRPr="00000000" w14:paraId="000000DA">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Spinal cord compression not definitively treated with surgery and/or radiation or previously diagnosed and treated spinal cord compression without evidence that disease had been clinically stable for </w:t>
            </w:r>
            <w:r w:rsidDel="00000000" w:rsidR="00000000" w:rsidRPr="00000000">
              <w:rPr>
                <w:rFonts w:ascii="Arial Unicode MS" w:cs="Arial Unicode MS" w:eastAsia="Arial Unicode MS" w:hAnsi="Arial Unicode MS"/>
                <w:b w:val="1"/>
                <w:i w:val="1"/>
                <w:sz w:val="20"/>
                <w:szCs w:val="20"/>
                <w:rtl w:val="0"/>
              </w:rPr>
              <w:t xml:space="preserve">≥</w:t>
            </w:r>
            <w:r w:rsidDel="00000000" w:rsidR="00000000" w:rsidRPr="00000000">
              <w:rPr>
                <w:rFonts w:ascii="Arial" w:cs="Arial" w:eastAsia="Arial" w:hAnsi="Arial"/>
                <w:i w:val="1"/>
                <w:sz w:val="20"/>
                <w:szCs w:val="20"/>
                <w:rtl w:val="0"/>
              </w:rPr>
              <w:t xml:space="preserve"> 2 weeks prior to randomization</w:t>
            </w:r>
          </w:p>
        </w:tc>
        <w:tc>
          <w:tcPr>
            <w:tcMar>
              <w:top w:w="100.0" w:type="dxa"/>
              <w:left w:w="100.0" w:type="dxa"/>
              <w:bottom w:w="100.0" w:type="dxa"/>
              <w:right w:w="100.0" w:type="dxa"/>
            </w:tcMar>
            <w:vAlign w:val="center"/>
          </w:tcPr>
          <w:p w:rsidR="00000000" w:rsidDel="00000000" w:rsidP="00000000" w:rsidRDefault="00000000" w:rsidRPr="00000000" w14:paraId="000000DB">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0DC">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in real-world database)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DD">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Leptomeningeal disease</w:t>
            </w:r>
          </w:p>
        </w:tc>
        <w:tc>
          <w:tcPr>
            <w:tcMar>
              <w:top w:w="100.0" w:type="dxa"/>
              <w:left w:w="100.0" w:type="dxa"/>
              <w:bottom w:w="100.0" w:type="dxa"/>
              <w:right w:w="100.0" w:type="dxa"/>
            </w:tcMar>
            <w:vAlign w:val="center"/>
          </w:tcPr>
          <w:p w:rsidR="00000000" w:rsidDel="00000000" w:rsidP="00000000" w:rsidRDefault="00000000" w:rsidRPr="00000000" w14:paraId="000000DE">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Leptomeningeal disease</w:t>
            </w:r>
          </w:p>
        </w:tc>
        <w:tc>
          <w:tcPr>
            <w:tcMar>
              <w:top w:w="100.0" w:type="dxa"/>
              <w:left w:w="100.0" w:type="dxa"/>
              <w:bottom w:w="100.0" w:type="dxa"/>
              <w:right w:w="100.0" w:type="dxa"/>
            </w:tcMar>
            <w:vAlign w:val="center"/>
          </w:tcPr>
          <w:p w:rsidR="00000000" w:rsidDel="00000000" w:rsidP="00000000" w:rsidRDefault="00000000" w:rsidRPr="00000000" w14:paraId="000000DF">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Leptomeningeal disease</w:t>
            </w:r>
          </w:p>
        </w:tc>
        <w:tc>
          <w:tcPr>
            <w:tcMar>
              <w:top w:w="100.0" w:type="dxa"/>
              <w:left w:w="100.0" w:type="dxa"/>
              <w:bottom w:w="100.0" w:type="dxa"/>
              <w:right w:w="100.0" w:type="dxa"/>
            </w:tcMar>
            <w:vAlign w:val="center"/>
          </w:tcPr>
          <w:p w:rsidR="00000000" w:rsidDel="00000000" w:rsidP="00000000" w:rsidRDefault="00000000" w:rsidRPr="00000000" w14:paraId="000000E0">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0E1">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in real-world database)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E2">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Uncontrolled tumor-related pain</w:t>
            </w:r>
          </w:p>
        </w:tc>
        <w:tc>
          <w:tcPr>
            <w:tcMar>
              <w:top w:w="100.0" w:type="dxa"/>
              <w:left w:w="100.0" w:type="dxa"/>
              <w:bottom w:w="100.0" w:type="dxa"/>
              <w:right w:w="100.0" w:type="dxa"/>
            </w:tcMar>
            <w:vAlign w:val="center"/>
          </w:tcPr>
          <w:p w:rsidR="00000000" w:rsidDel="00000000" w:rsidP="00000000" w:rsidRDefault="00000000" w:rsidRPr="00000000" w14:paraId="000000E3">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Uncontrolled tumor-related pain</w:t>
            </w:r>
          </w:p>
        </w:tc>
        <w:tc>
          <w:tcPr>
            <w:tcMar>
              <w:top w:w="100.0" w:type="dxa"/>
              <w:left w:w="100.0" w:type="dxa"/>
              <w:bottom w:w="100.0" w:type="dxa"/>
              <w:right w:w="100.0" w:type="dxa"/>
            </w:tcMar>
            <w:vAlign w:val="center"/>
          </w:tcPr>
          <w:p w:rsidR="00000000" w:rsidDel="00000000" w:rsidP="00000000" w:rsidRDefault="00000000" w:rsidRPr="00000000" w14:paraId="000000E4">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Uncontrolled tumor-related pain</w:t>
            </w:r>
          </w:p>
        </w:tc>
        <w:tc>
          <w:tcPr>
            <w:tcMar>
              <w:top w:w="100.0" w:type="dxa"/>
              <w:left w:w="100.0" w:type="dxa"/>
              <w:bottom w:w="100.0" w:type="dxa"/>
              <w:right w:w="100.0" w:type="dxa"/>
            </w:tcMar>
            <w:vAlign w:val="center"/>
          </w:tcPr>
          <w:p w:rsidR="00000000" w:rsidDel="00000000" w:rsidP="00000000" w:rsidRDefault="00000000" w:rsidRPr="00000000" w14:paraId="000000E5">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0E6">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in real-world database)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E7">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Uncontrolled pleural effusion, pericardial effusion, or ascites requiring recurrent drainage procedures (once monthly or more frequently)</w:t>
            </w:r>
          </w:p>
        </w:tc>
        <w:tc>
          <w:tcPr>
            <w:tcMar>
              <w:top w:w="100.0" w:type="dxa"/>
              <w:left w:w="100.0" w:type="dxa"/>
              <w:bottom w:w="100.0" w:type="dxa"/>
              <w:right w:w="100.0" w:type="dxa"/>
            </w:tcMar>
            <w:vAlign w:val="center"/>
          </w:tcPr>
          <w:p w:rsidR="00000000" w:rsidDel="00000000" w:rsidP="00000000" w:rsidRDefault="00000000" w:rsidRPr="00000000" w14:paraId="000000E8">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Uncontrolled pleural effusion, pericardial effusion, or ascites requiring recurrent drainage procedures (once monthly or more frequently)</w:t>
            </w:r>
          </w:p>
        </w:tc>
        <w:tc>
          <w:tcPr>
            <w:tcMar>
              <w:top w:w="100.0" w:type="dxa"/>
              <w:left w:w="100.0" w:type="dxa"/>
              <w:bottom w:w="100.0" w:type="dxa"/>
              <w:right w:w="100.0" w:type="dxa"/>
            </w:tcMar>
            <w:vAlign w:val="center"/>
          </w:tcPr>
          <w:p w:rsidR="00000000" w:rsidDel="00000000" w:rsidP="00000000" w:rsidRDefault="00000000" w:rsidRPr="00000000" w14:paraId="000000E9">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Uncontrolled pleural effusion, pericardial effusion, or ascites requiring recurrent drainage procedures (once monthly or more frequently)</w:t>
            </w:r>
          </w:p>
        </w:tc>
        <w:tc>
          <w:tcPr>
            <w:tcMar>
              <w:top w:w="100.0" w:type="dxa"/>
              <w:left w:w="100.0" w:type="dxa"/>
              <w:bottom w:w="100.0" w:type="dxa"/>
              <w:right w:w="100.0" w:type="dxa"/>
            </w:tcMar>
            <w:vAlign w:val="center"/>
          </w:tcPr>
          <w:p w:rsidR="00000000" w:rsidDel="00000000" w:rsidP="00000000" w:rsidRDefault="00000000" w:rsidRPr="00000000" w14:paraId="000000EA">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0EB">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in real-world database)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EC">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Uncontrolled or symptomatic hypercalcemia (&gt;1.5 mmol/L ionized calcium or Ca &gt;12 mg/dL or corrected serum calcium &gt;ULN)</w:t>
            </w:r>
          </w:p>
        </w:tc>
        <w:tc>
          <w:tcPr>
            <w:tcMar>
              <w:top w:w="100.0" w:type="dxa"/>
              <w:left w:w="100.0" w:type="dxa"/>
              <w:bottom w:w="100.0" w:type="dxa"/>
              <w:right w:w="100.0" w:type="dxa"/>
            </w:tcMar>
            <w:vAlign w:val="center"/>
          </w:tcPr>
          <w:p w:rsidR="00000000" w:rsidDel="00000000" w:rsidP="00000000" w:rsidRDefault="00000000" w:rsidRPr="00000000" w14:paraId="000000ED">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Uncontrolled or symptomatic hypercalcemia (&gt;1.5 mmol/L ionized calcium or Ca &gt;12 mg/dL or corrected serum calcium &gt;ULN)</w:t>
            </w:r>
          </w:p>
        </w:tc>
        <w:tc>
          <w:tcPr>
            <w:tcMar>
              <w:top w:w="100.0" w:type="dxa"/>
              <w:left w:w="100.0" w:type="dxa"/>
              <w:bottom w:w="100.0" w:type="dxa"/>
              <w:right w:w="100.0" w:type="dxa"/>
            </w:tcMar>
            <w:vAlign w:val="center"/>
          </w:tcPr>
          <w:p w:rsidR="00000000" w:rsidDel="00000000" w:rsidP="00000000" w:rsidRDefault="00000000" w:rsidRPr="00000000" w14:paraId="000000EE">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Uncontrolled or symptomatic hypercalcemia (&gt;1.5 mmol/L ionized calcium or Ca &gt;12 mg/dL or corrected serum calcium &gt;ULN)</w:t>
            </w:r>
          </w:p>
        </w:tc>
        <w:tc>
          <w:tcPr>
            <w:tcMar>
              <w:top w:w="100.0" w:type="dxa"/>
              <w:left w:w="100.0" w:type="dxa"/>
              <w:bottom w:w="100.0" w:type="dxa"/>
              <w:right w:w="100.0" w:type="dxa"/>
            </w:tcMar>
            <w:vAlign w:val="center"/>
          </w:tcPr>
          <w:p w:rsidR="00000000" w:rsidDel="00000000" w:rsidP="00000000" w:rsidRDefault="00000000" w:rsidRPr="00000000" w14:paraId="000000EF">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Implemented</w:t>
            </w:r>
          </w:p>
          <w:p w:rsidR="00000000" w:rsidDel="00000000" w:rsidP="00000000" w:rsidRDefault="00000000" w:rsidRPr="00000000" w14:paraId="000000F0">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(Same)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F1">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Malignancies other than NSCLC within 5 years prior to randomization, with the exception of those with a negligible risk of metastasis or death treated with expected curative outcome </w:t>
            </w:r>
          </w:p>
        </w:tc>
        <w:tc>
          <w:tcPr>
            <w:tcMar>
              <w:top w:w="100.0" w:type="dxa"/>
              <w:left w:w="100.0" w:type="dxa"/>
              <w:bottom w:w="100.0" w:type="dxa"/>
              <w:right w:w="100.0" w:type="dxa"/>
            </w:tcMar>
            <w:vAlign w:val="center"/>
          </w:tcPr>
          <w:p w:rsidR="00000000" w:rsidDel="00000000" w:rsidP="00000000" w:rsidRDefault="00000000" w:rsidRPr="00000000" w14:paraId="000000F2">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Malignancies other than NSCLC within 5 years prior to randomization, with the exception of those with a negligible risk of metastasis or death treated with expected curative outcome</w:t>
            </w:r>
          </w:p>
        </w:tc>
        <w:tc>
          <w:tcPr>
            <w:tcMar>
              <w:top w:w="100.0" w:type="dxa"/>
              <w:left w:w="100.0" w:type="dxa"/>
              <w:bottom w:w="100.0" w:type="dxa"/>
              <w:right w:w="100.0" w:type="dxa"/>
            </w:tcMar>
            <w:vAlign w:val="center"/>
          </w:tcPr>
          <w:p w:rsidR="00000000" w:rsidDel="00000000" w:rsidP="00000000" w:rsidRDefault="00000000" w:rsidRPr="00000000" w14:paraId="000000F3">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Malignancies other than NSCLC within 5 years prior to randomization, with the exception of those with a negligible risk of metastasis or death treated with expected curative outcome</w:t>
            </w:r>
          </w:p>
        </w:tc>
        <w:tc>
          <w:tcPr>
            <w:tcMar>
              <w:top w:w="100.0" w:type="dxa"/>
              <w:left w:w="100.0" w:type="dxa"/>
              <w:bottom w:w="100.0" w:type="dxa"/>
              <w:right w:w="100.0" w:type="dxa"/>
            </w:tcMar>
            <w:vAlign w:val="center"/>
          </w:tcPr>
          <w:p w:rsidR="00000000" w:rsidDel="00000000" w:rsidP="00000000" w:rsidRDefault="00000000" w:rsidRPr="00000000" w14:paraId="000000F4">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w:t>
            </w:r>
          </w:p>
          <w:p w:rsidR="00000000" w:rsidDel="00000000" w:rsidP="00000000" w:rsidRDefault="00000000" w:rsidRPr="00000000" w14:paraId="000000F5">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in real-world database)</w:t>
            </w:r>
          </w:p>
        </w:tc>
      </w:tr>
      <w:tr>
        <w:trPr>
          <w:cantSplit w:val="0"/>
          <w:trHeight w:val="400" w:hRule="atLeast"/>
          <w:tblHeader w:val="0"/>
        </w:trPr>
        <w:tc>
          <w:tcPr>
            <w:gridSpan w:val="4"/>
            <w:tcMar>
              <w:top w:w="100.0" w:type="dxa"/>
              <w:left w:w="100.0" w:type="dxa"/>
              <w:bottom w:w="100.0" w:type="dxa"/>
              <w:right w:w="100.0" w:type="dxa"/>
            </w:tcMar>
            <w:vAlign w:val="center"/>
          </w:tcPr>
          <w:p w:rsidR="00000000" w:rsidDel="00000000" w:rsidP="00000000" w:rsidRDefault="00000000" w:rsidRPr="00000000" w14:paraId="000000F6">
            <w:pPr>
              <w:widowControl w:val="0"/>
              <w:spacing w:after="0" w:before="0" w:lineRule="auto"/>
              <w:ind w:left="270" w:firstLine="0"/>
              <w:rPr>
                <w:rFonts w:ascii="Arial" w:cs="Arial" w:eastAsia="Arial" w:hAnsi="Arial"/>
                <w:i w:val="1"/>
                <w:sz w:val="20"/>
                <w:szCs w:val="20"/>
              </w:rPr>
            </w:pPr>
            <w:r w:rsidDel="00000000" w:rsidR="00000000" w:rsidRPr="00000000">
              <w:rPr>
                <w:rtl w:val="0"/>
              </w:rPr>
            </w:r>
          </w:p>
        </w:tc>
      </w:tr>
      <w:tr>
        <w:trPr>
          <w:cantSplit w:val="0"/>
          <w:trHeight w:val="400" w:hRule="atLeast"/>
          <w:tblHeader w:val="0"/>
        </w:trPr>
        <w:tc>
          <w:tcPr>
            <w:gridSpan w:val="4"/>
            <w:tcMar>
              <w:top w:w="100.0" w:type="dxa"/>
              <w:left w:w="100.0" w:type="dxa"/>
              <w:bottom w:w="100.0" w:type="dxa"/>
              <w:right w:w="100.0" w:type="dxa"/>
            </w:tcMar>
            <w:vAlign w:val="center"/>
          </w:tcPr>
          <w:p w:rsidR="00000000" w:rsidDel="00000000" w:rsidP="00000000" w:rsidRDefault="00000000" w:rsidRPr="00000000" w14:paraId="000000FA">
            <w:pPr>
              <w:widowControl w:val="0"/>
              <w:spacing w:after="0" w:before="0" w:lineRule="auto"/>
              <w:ind w:left="270" w:firstLine="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General Medical Exclusions</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0FE">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Women who are pregnant, lactating, or intending to become pregnant during the study</w:t>
            </w:r>
          </w:p>
        </w:tc>
        <w:tc>
          <w:tcPr>
            <w:tcMar>
              <w:top w:w="100.0" w:type="dxa"/>
              <w:left w:w="100.0" w:type="dxa"/>
              <w:bottom w:w="100.0" w:type="dxa"/>
              <w:right w:w="100.0" w:type="dxa"/>
            </w:tcMar>
            <w:vAlign w:val="center"/>
          </w:tcPr>
          <w:p w:rsidR="00000000" w:rsidDel="00000000" w:rsidP="00000000" w:rsidRDefault="00000000" w:rsidRPr="00000000" w14:paraId="000000FF">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Women who are pregnant, lactating or intending to become pregnant during the study</w:t>
            </w:r>
          </w:p>
        </w:tc>
        <w:tc>
          <w:tcPr>
            <w:tcMar>
              <w:top w:w="100.0" w:type="dxa"/>
              <w:left w:w="100.0" w:type="dxa"/>
              <w:bottom w:w="100.0" w:type="dxa"/>
              <w:right w:w="100.0" w:type="dxa"/>
            </w:tcMar>
            <w:vAlign w:val="center"/>
          </w:tcPr>
          <w:p w:rsidR="00000000" w:rsidDel="00000000" w:rsidP="00000000" w:rsidRDefault="00000000" w:rsidRPr="00000000" w14:paraId="00000100">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Women who are pregnant, lactating or intending to become pregnant during the study</w:t>
            </w:r>
          </w:p>
        </w:tc>
        <w:tc>
          <w:tcPr>
            <w:tcMar>
              <w:top w:w="100.0" w:type="dxa"/>
              <w:left w:w="100.0" w:type="dxa"/>
              <w:bottom w:w="100.0" w:type="dxa"/>
              <w:right w:w="100.0" w:type="dxa"/>
            </w:tcMar>
            <w:vAlign w:val="center"/>
          </w:tcPr>
          <w:p w:rsidR="00000000" w:rsidDel="00000000" w:rsidP="00000000" w:rsidRDefault="00000000" w:rsidRPr="00000000" w14:paraId="00000101">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102">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in real-world database)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03">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History of severe allergic, anaphylactic, or other hypersensitivity reactions to chimeric or humanized antibodies or fusion proteins</w:t>
            </w:r>
          </w:p>
        </w:tc>
        <w:tc>
          <w:tcPr>
            <w:tcMar>
              <w:top w:w="100.0" w:type="dxa"/>
              <w:left w:w="100.0" w:type="dxa"/>
              <w:bottom w:w="100.0" w:type="dxa"/>
              <w:right w:w="100.0" w:type="dxa"/>
            </w:tcMar>
            <w:vAlign w:val="center"/>
          </w:tcPr>
          <w:p w:rsidR="00000000" w:rsidDel="00000000" w:rsidP="00000000" w:rsidRDefault="00000000" w:rsidRPr="00000000" w14:paraId="00000104">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History of severe allergic, anaphylactic, or other hypersensitivity reactions to chimeric or humanized antibodies or fusion proteins</w:t>
            </w:r>
          </w:p>
        </w:tc>
        <w:tc>
          <w:tcPr>
            <w:tcMar>
              <w:top w:w="100.0" w:type="dxa"/>
              <w:left w:w="100.0" w:type="dxa"/>
              <w:bottom w:w="100.0" w:type="dxa"/>
              <w:right w:w="100.0" w:type="dxa"/>
            </w:tcMar>
            <w:vAlign w:val="center"/>
          </w:tcPr>
          <w:p w:rsidR="00000000" w:rsidDel="00000000" w:rsidP="00000000" w:rsidRDefault="00000000" w:rsidRPr="00000000" w14:paraId="00000105">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History of severe allergic, anaphylactic, or other hypersensitivity reactions to chimeric or humanized antibodies or fusion proteins</w:t>
            </w:r>
          </w:p>
        </w:tc>
        <w:tc>
          <w:tcPr>
            <w:tcMar>
              <w:top w:w="100.0" w:type="dxa"/>
              <w:left w:w="100.0" w:type="dxa"/>
              <w:bottom w:w="100.0" w:type="dxa"/>
              <w:right w:w="100.0" w:type="dxa"/>
            </w:tcMar>
            <w:vAlign w:val="center"/>
          </w:tcPr>
          <w:p w:rsidR="00000000" w:rsidDel="00000000" w:rsidP="00000000" w:rsidRDefault="00000000" w:rsidRPr="00000000" w14:paraId="00000106">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107">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in real-world database)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08">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Known hypersensitivity or allergy to biopharmaceuticals produced in Chinese hamster ovary cells or any component of the atezolizumab formulation</w:t>
            </w:r>
          </w:p>
        </w:tc>
        <w:tc>
          <w:tcPr>
            <w:tcMar>
              <w:top w:w="100.0" w:type="dxa"/>
              <w:left w:w="100.0" w:type="dxa"/>
              <w:bottom w:w="100.0" w:type="dxa"/>
              <w:right w:w="100.0" w:type="dxa"/>
            </w:tcMar>
            <w:vAlign w:val="center"/>
          </w:tcPr>
          <w:p w:rsidR="00000000" w:rsidDel="00000000" w:rsidP="00000000" w:rsidRDefault="00000000" w:rsidRPr="00000000" w14:paraId="00000109">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Known hypersensitivity or allergy to biopharmaceuticals produced in Chinese hamster ovary cells or any component of the atezolizumab formulation</w:t>
            </w:r>
          </w:p>
        </w:tc>
        <w:tc>
          <w:tcPr>
            <w:tcMar>
              <w:top w:w="100.0" w:type="dxa"/>
              <w:left w:w="100.0" w:type="dxa"/>
              <w:bottom w:w="100.0" w:type="dxa"/>
              <w:right w:w="100.0" w:type="dxa"/>
            </w:tcMar>
            <w:vAlign w:val="center"/>
          </w:tcPr>
          <w:p w:rsidR="00000000" w:rsidDel="00000000" w:rsidP="00000000" w:rsidRDefault="00000000" w:rsidRPr="00000000" w14:paraId="0000010A">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Known hypersensitivity or allergy to biopharmaceuticals produced in Chinese hamster ovary cells or any component of the atezolizumab formulation</w:t>
            </w:r>
          </w:p>
        </w:tc>
        <w:tc>
          <w:tcPr>
            <w:tcMar>
              <w:top w:w="100.0" w:type="dxa"/>
              <w:left w:w="100.0" w:type="dxa"/>
              <w:bottom w:w="100.0" w:type="dxa"/>
              <w:right w:w="100.0" w:type="dxa"/>
            </w:tcMar>
            <w:vAlign w:val="center"/>
          </w:tcPr>
          <w:p w:rsidR="00000000" w:rsidDel="00000000" w:rsidP="00000000" w:rsidRDefault="00000000" w:rsidRPr="00000000" w14:paraId="0000010B">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10C">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in real-world database)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0D">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History of autoimmune disease</w:t>
            </w:r>
          </w:p>
        </w:tc>
        <w:tc>
          <w:tcPr>
            <w:tcMar>
              <w:top w:w="100.0" w:type="dxa"/>
              <w:left w:w="100.0" w:type="dxa"/>
              <w:bottom w:w="100.0" w:type="dxa"/>
              <w:right w:w="100.0" w:type="dxa"/>
            </w:tcMar>
            <w:vAlign w:val="center"/>
          </w:tcPr>
          <w:p w:rsidR="00000000" w:rsidDel="00000000" w:rsidP="00000000" w:rsidRDefault="00000000" w:rsidRPr="00000000" w14:paraId="0000010E">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History of autoimmune disease</w:t>
            </w:r>
          </w:p>
        </w:tc>
        <w:tc>
          <w:tcPr>
            <w:tcMar>
              <w:top w:w="100.0" w:type="dxa"/>
              <w:left w:w="100.0" w:type="dxa"/>
              <w:bottom w:w="100.0" w:type="dxa"/>
              <w:right w:w="100.0" w:type="dxa"/>
            </w:tcMar>
            <w:vAlign w:val="center"/>
          </w:tcPr>
          <w:p w:rsidR="00000000" w:rsidDel="00000000" w:rsidP="00000000" w:rsidRDefault="00000000" w:rsidRPr="00000000" w14:paraId="0000010F">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History of autoimmune disease</w:t>
            </w:r>
          </w:p>
        </w:tc>
        <w:tc>
          <w:tcPr>
            <w:tcMar>
              <w:top w:w="100.0" w:type="dxa"/>
              <w:left w:w="100.0" w:type="dxa"/>
              <w:bottom w:w="100.0" w:type="dxa"/>
              <w:right w:w="100.0" w:type="dxa"/>
            </w:tcMar>
            <w:vAlign w:val="center"/>
          </w:tcPr>
          <w:p w:rsidR="00000000" w:rsidDel="00000000" w:rsidP="00000000" w:rsidRDefault="00000000" w:rsidRPr="00000000" w14:paraId="00000110">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111">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in real-world database)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12">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History of idiopathic pulmonary fibrosis, organizing pneumonia (e.g., bronchiolitis obliterans), drug-induced pneumonitis, idiopathic pneumonitis, or evidence of active pneumonitis on screening chest CT scan</w:t>
            </w:r>
          </w:p>
        </w:tc>
        <w:tc>
          <w:tcPr>
            <w:tcMar>
              <w:top w:w="100.0" w:type="dxa"/>
              <w:left w:w="100.0" w:type="dxa"/>
              <w:bottom w:w="100.0" w:type="dxa"/>
              <w:right w:w="100.0" w:type="dxa"/>
            </w:tcMar>
            <w:vAlign w:val="center"/>
          </w:tcPr>
          <w:p w:rsidR="00000000" w:rsidDel="00000000" w:rsidP="00000000" w:rsidRDefault="00000000" w:rsidRPr="00000000" w14:paraId="00000113">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History of idiopathic pulmonary fibrosis, organizing pneumonia (e.g., bronchiolitis obliterans), drug-induced pneumonitis, idiopathic pneumonitis, or evidence of active pneumonitis on screening chest CT scan</w:t>
            </w:r>
          </w:p>
        </w:tc>
        <w:tc>
          <w:tcPr>
            <w:tcMar>
              <w:top w:w="100.0" w:type="dxa"/>
              <w:left w:w="100.0" w:type="dxa"/>
              <w:bottom w:w="100.0" w:type="dxa"/>
              <w:right w:w="100.0" w:type="dxa"/>
            </w:tcMar>
            <w:vAlign w:val="center"/>
          </w:tcPr>
          <w:p w:rsidR="00000000" w:rsidDel="00000000" w:rsidP="00000000" w:rsidRDefault="00000000" w:rsidRPr="00000000" w14:paraId="00000114">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History of idiopathic pulmonary fibrosis, organizing pneumonia (e.g., bronchiolitis obliterans), drug-induced pneumonitis, idiopathic pneumonitis, or evidence of active pneumonitis on screening chest CT scan</w:t>
            </w:r>
          </w:p>
        </w:tc>
        <w:tc>
          <w:tcPr>
            <w:tcMar>
              <w:top w:w="100.0" w:type="dxa"/>
              <w:left w:w="100.0" w:type="dxa"/>
              <w:bottom w:w="100.0" w:type="dxa"/>
              <w:right w:w="100.0" w:type="dxa"/>
            </w:tcMar>
            <w:vAlign w:val="center"/>
          </w:tcPr>
          <w:p w:rsidR="00000000" w:rsidDel="00000000" w:rsidP="00000000" w:rsidRDefault="00000000" w:rsidRPr="00000000" w14:paraId="00000115">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116">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in real-world database)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17">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Positive test for HIV (prior to randomization)</w:t>
            </w:r>
          </w:p>
        </w:tc>
        <w:tc>
          <w:tcPr>
            <w:tcMar>
              <w:top w:w="100.0" w:type="dxa"/>
              <w:left w:w="100.0" w:type="dxa"/>
              <w:bottom w:w="100.0" w:type="dxa"/>
              <w:right w:w="100.0" w:type="dxa"/>
            </w:tcMar>
            <w:vAlign w:val="center"/>
          </w:tcPr>
          <w:p w:rsidR="00000000" w:rsidDel="00000000" w:rsidP="00000000" w:rsidRDefault="00000000" w:rsidRPr="00000000" w14:paraId="00000118">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Positive test for HIV (prior to randomization)</w:t>
            </w:r>
          </w:p>
        </w:tc>
        <w:tc>
          <w:tcPr>
            <w:tcMar>
              <w:top w:w="100.0" w:type="dxa"/>
              <w:left w:w="100.0" w:type="dxa"/>
              <w:bottom w:w="100.0" w:type="dxa"/>
              <w:right w:w="100.0" w:type="dxa"/>
            </w:tcMar>
            <w:vAlign w:val="center"/>
          </w:tcPr>
          <w:p w:rsidR="00000000" w:rsidDel="00000000" w:rsidP="00000000" w:rsidRDefault="00000000" w:rsidRPr="00000000" w14:paraId="00000119">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Positive test for HIV (prior to randomization)</w:t>
            </w:r>
          </w:p>
        </w:tc>
        <w:tc>
          <w:tcPr>
            <w:tcMar>
              <w:top w:w="100.0" w:type="dxa"/>
              <w:left w:w="100.0" w:type="dxa"/>
              <w:bottom w:w="100.0" w:type="dxa"/>
              <w:right w:w="100.0" w:type="dxa"/>
            </w:tcMar>
            <w:vAlign w:val="center"/>
          </w:tcPr>
          <w:p w:rsidR="00000000" w:rsidDel="00000000" w:rsidP="00000000" w:rsidRDefault="00000000" w:rsidRPr="00000000" w14:paraId="0000011A">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Implemented</w:t>
            </w:r>
          </w:p>
          <w:p w:rsidR="00000000" w:rsidDel="00000000" w:rsidP="00000000" w:rsidRDefault="00000000" w:rsidRPr="00000000" w14:paraId="0000011B">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(Same)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1C">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Patients with active hepatitis B (chronic or acute; defined as having a positive HBsAg test at screening) or hepatitis C</w:t>
            </w:r>
          </w:p>
          <w:p w:rsidR="00000000" w:rsidDel="00000000" w:rsidP="00000000" w:rsidRDefault="00000000" w:rsidRPr="00000000" w14:paraId="0000011D">
            <w:pPr>
              <w:widowControl w:val="0"/>
              <w:numPr>
                <w:ilvl w:val="0"/>
                <w:numId w:val="9"/>
              </w:numPr>
              <w:spacing w:after="0" w:before="0"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Patients with past HBV infection or resolved HBV infection (defined as the presence of hepatitis B core antibody and absence of HBsAg) are eligible. HBV DNA test must be performed in these patients prior to randomization.</w:t>
            </w:r>
          </w:p>
          <w:p w:rsidR="00000000" w:rsidDel="00000000" w:rsidP="00000000" w:rsidRDefault="00000000" w:rsidRPr="00000000" w14:paraId="0000011E">
            <w:pPr>
              <w:widowControl w:val="0"/>
              <w:numPr>
                <w:ilvl w:val="0"/>
                <w:numId w:val="9"/>
              </w:numPr>
              <w:spacing w:after="0" w:before="0"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Patients positive for HCV antibody are eligible only if PCR is negative for HCV RNA.</w:t>
            </w:r>
          </w:p>
        </w:tc>
        <w:tc>
          <w:tcPr>
            <w:tcMar>
              <w:top w:w="100.0" w:type="dxa"/>
              <w:left w:w="100.0" w:type="dxa"/>
              <w:bottom w:w="100.0" w:type="dxa"/>
              <w:right w:w="100.0" w:type="dxa"/>
            </w:tcMar>
            <w:vAlign w:val="center"/>
          </w:tcPr>
          <w:p w:rsidR="00000000" w:rsidDel="00000000" w:rsidP="00000000" w:rsidRDefault="00000000" w:rsidRPr="00000000" w14:paraId="0000011F">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Patients with active hepatitis B (chronic or acute; defined as having a positive HBsAg test at screening) or hepatitis C</w:t>
            </w:r>
          </w:p>
          <w:p w:rsidR="00000000" w:rsidDel="00000000" w:rsidP="00000000" w:rsidRDefault="00000000" w:rsidRPr="00000000" w14:paraId="00000120">
            <w:pPr>
              <w:widowControl w:val="0"/>
              <w:numPr>
                <w:ilvl w:val="0"/>
                <w:numId w:val="9"/>
              </w:numPr>
              <w:spacing w:after="0" w:before="0"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Patients with past HBV infection or resolved HBV infection (defined as the presence of hepatitis B core antibody and absence of HBsAg) are eligible. HBV DNA test must be performed in these patients prior to randomization.</w:t>
            </w:r>
          </w:p>
          <w:p w:rsidR="00000000" w:rsidDel="00000000" w:rsidP="00000000" w:rsidRDefault="00000000" w:rsidRPr="00000000" w14:paraId="00000121">
            <w:pPr>
              <w:widowControl w:val="0"/>
              <w:numPr>
                <w:ilvl w:val="0"/>
                <w:numId w:val="9"/>
              </w:numPr>
              <w:spacing w:after="0" w:before="0"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Patients positive for HCV antibody are eligible only if PCR is negative for HCV RNA.</w:t>
            </w:r>
          </w:p>
        </w:tc>
        <w:tc>
          <w:tcPr>
            <w:tcMar>
              <w:top w:w="100.0" w:type="dxa"/>
              <w:left w:w="100.0" w:type="dxa"/>
              <w:bottom w:w="100.0" w:type="dxa"/>
              <w:right w:w="100.0" w:type="dxa"/>
            </w:tcMar>
            <w:vAlign w:val="center"/>
          </w:tcPr>
          <w:p w:rsidR="00000000" w:rsidDel="00000000" w:rsidP="00000000" w:rsidRDefault="00000000" w:rsidRPr="00000000" w14:paraId="00000122">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Patients with active hepatitis B (chronic or acute; defined as having a positive HBsAg test at screening) or hepatitis C</w:t>
            </w:r>
          </w:p>
          <w:p w:rsidR="00000000" w:rsidDel="00000000" w:rsidP="00000000" w:rsidRDefault="00000000" w:rsidRPr="00000000" w14:paraId="00000123">
            <w:pPr>
              <w:widowControl w:val="0"/>
              <w:numPr>
                <w:ilvl w:val="0"/>
                <w:numId w:val="9"/>
              </w:numPr>
              <w:spacing w:after="0" w:before="0"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Patients with past HBV infection or resolved HBV infection (defined as the presence of HBcAb and absence of HBsAg) were eligible only if they were negative for HBV DNA.</w:t>
            </w:r>
          </w:p>
          <w:p w:rsidR="00000000" w:rsidDel="00000000" w:rsidP="00000000" w:rsidRDefault="00000000" w:rsidRPr="00000000" w14:paraId="00000124">
            <w:pPr>
              <w:widowControl w:val="0"/>
              <w:numPr>
                <w:ilvl w:val="0"/>
                <w:numId w:val="9"/>
              </w:numPr>
              <w:spacing w:after="0" w:before="0"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Patients positive for HCV antibody were eligible only if PCR was negative for HCV RNA.</w:t>
            </w:r>
          </w:p>
        </w:tc>
        <w:tc>
          <w:tcPr>
            <w:tcMar>
              <w:top w:w="100.0" w:type="dxa"/>
              <w:left w:w="100.0" w:type="dxa"/>
              <w:bottom w:w="100.0" w:type="dxa"/>
              <w:right w:w="100.0" w:type="dxa"/>
            </w:tcMar>
            <w:vAlign w:val="center"/>
          </w:tcPr>
          <w:p w:rsidR="00000000" w:rsidDel="00000000" w:rsidP="00000000" w:rsidRDefault="00000000" w:rsidRPr="00000000" w14:paraId="00000125">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Implemented</w:t>
            </w:r>
          </w:p>
          <w:p w:rsidR="00000000" w:rsidDel="00000000" w:rsidP="00000000" w:rsidRDefault="00000000" w:rsidRPr="00000000" w14:paraId="00000126">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(Same)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27">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Active tuberculosis</w:t>
            </w:r>
          </w:p>
        </w:tc>
        <w:tc>
          <w:tcPr>
            <w:tcMar>
              <w:top w:w="100.0" w:type="dxa"/>
              <w:left w:w="100.0" w:type="dxa"/>
              <w:bottom w:w="100.0" w:type="dxa"/>
              <w:right w:w="100.0" w:type="dxa"/>
            </w:tcMar>
            <w:vAlign w:val="center"/>
          </w:tcPr>
          <w:p w:rsidR="00000000" w:rsidDel="00000000" w:rsidP="00000000" w:rsidRDefault="00000000" w:rsidRPr="00000000" w14:paraId="00000128">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Active tuberculosis</w:t>
            </w:r>
          </w:p>
        </w:tc>
        <w:tc>
          <w:tcPr>
            <w:tcMar>
              <w:top w:w="100.0" w:type="dxa"/>
              <w:left w:w="100.0" w:type="dxa"/>
              <w:bottom w:w="100.0" w:type="dxa"/>
              <w:right w:w="100.0" w:type="dxa"/>
            </w:tcMar>
            <w:vAlign w:val="center"/>
          </w:tcPr>
          <w:p w:rsidR="00000000" w:rsidDel="00000000" w:rsidP="00000000" w:rsidRDefault="00000000" w:rsidRPr="00000000" w14:paraId="00000129">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Active tuberculosis</w:t>
            </w:r>
          </w:p>
        </w:tc>
        <w:tc>
          <w:tcPr>
            <w:tcMar>
              <w:top w:w="100.0" w:type="dxa"/>
              <w:left w:w="100.0" w:type="dxa"/>
              <w:bottom w:w="100.0" w:type="dxa"/>
              <w:right w:w="100.0" w:type="dxa"/>
            </w:tcMar>
            <w:vAlign w:val="center"/>
          </w:tcPr>
          <w:p w:rsidR="00000000" w:rsidDel="00000000" w:rsidP="00000000" w:rsidRDefault="00000000" w:rsidRPr="00000000" w14:paraId="0000012A">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12B">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in real-world database)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2C">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Severe infections within 4 weeks prior to randomization, including but not limited to hospitalization for complications of infection, bacteremia, or severe pneumonia</w:t>
            </w:r>
          </w:p>
        </w:tc>
        <w:tc>
          <w:tcPr>
            <w:tcMar>
              <w:top w:w="100.0" w:type="dxa"/>
              <w:left w:w="100.0" w:type="dxa"/>
              <w:bottom w:w="100.0" w:type="dxa"/>
              <w:right w:w="100.0" w:type="dxa"/>
            </w:tcMar>
            <w:vAlign w:val="center"/>
          </w:tcPr>
          <w:p w:rsidR="00000000" w:rsidDel="00000000" w:rsidP="00000000" w:rsidRDefault="00000000" w:rsidRPr="00000000" w14:paraId="0000012D">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Severe infections within 4 weeks prior to randomization, including, but not limited to, hospitalization for complications of infection, bacteremia, or severe pneumonia</w:t>
            </w:r>
          </w:p>
        </w:tc>
        <w:tc>
          <w:tcPr>
            <w:tcMar>
              <w:top w:w="100.0" w:type="dxa"/>
              <w:left w:w="100.0" w:type="dxa"/>
              <w:bottom w:w="100.0" w:type="dxa"/>
              <w:right w:w="100.0" w:type="dxa"/>
            </w:tcMar>
            <w:vAlign w:val="center"/>
          </w:tcPr>
          <w:p w:rsidR="00000000" w:rsidDel="00000000" w:rsidP="00000000" w:rsidRDefault="00000000" w:rsidRPr="00000000" w14:paraId="0000012E">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Severe infections within 4 weeks prior to randomization, including but not limited to</w:t>
            </w:r>
          </w:p>
          <w:p w:rsidR="00000000" w:rsidDel="00000000" w:rsidP="00000000" w:rsidRDefault="00000000" w:rsidRPr="00000000" w14:paraId="0000012F">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hospitalization for complications of infection, bacteremia, or severe pneumonia</w:t>
            </w:r>
          </w:p>
        </w:tc>
        <w:tc>
          <w:tcPr>
            <w:tcMar>
              <w:top w:w="100.0" w:type="dxa"/>
              <w:left w:w="100.0" w:type="dxa"/>
              <w:bottom w:w="100.0" w:type="dxa"/>
              <w:right w:w="100.0" w:type="dxa"/>
            </w:tcMar>
            <w:vAlign w:val="center"/>
          </w:tcPr>
          <w:p w:rsidR="00000000" w:rsidDel="00000000" w:rsidP="00000000" w:rsidRDefault="00000000" w:rsidRPr="00000000" w14:paraId="00000130">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131">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in real-world database)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32">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Received therapeutic oral or IV antibiotics within 2 weeks prior to randomization</w:t>
            </w:r>
          </w:p>
        </w:tc>
        <w:tc>
          <w:tcPr>
            <w:tcMar>
              <w:top w:w="100.0" w:type="dxa"/>
              <w:left w:w="100.0" w:type="dxa"/>
              <w:bottom w:w="100.0" w:type="dxa"/>
              <w:right w:w="100.0" w:type="dxa"/>
            </w:tcMar>
            <w:vAlign w:val="center"/>
          </w:tcPr>
          <w:p w:rsidR="00000000" w:rsidDel="00000000" w:rsidP="00000000" w:rsidRDefault="00000000" w:rsidRPr="00000000" w14:paraId="00000133">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Received therapeutic oral or IV antibiotics within 2 weeks prior to randomization</w:t>
            </w:r>
          </w:p>
        </w:tc>
        <w:tc>
          <w:tcPr>
            <w:tcMar>
              <w:top w:w="100.0" w:type="dxa"/>
              <w:left w:w="100.0" w:type="dxa"/>
              <w:bottom w:w="100.0" w:type="dxa"/>
              <w:right w:w="100.0" w:type="dxa"/>
            </w:tcMar>
            <w:vAlign w:val="center"/>
          </w:tcPr>
          <w:p w:rsidR="00000000" w:rsidDel="00000000" w:rsidP="00000000" w:rsidRDefault="00000000" w:rsidRPr="00000000" w14:paraId="00000134">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Received therapeutic oral or IV antibiotics within 2 weeks prior to randomization</w:t>
            </w:r>
          </w:p>
        </w:tc>
        <w:tc>
          <w:tcPr>
            <w:tcMar>
              <w:top w:w="100.0" w:type="dxa"/>
              <w:left w:w="100.0" w:type="dxa"/>
              <w:bottom w:w="100.0" w:type="dxa"/>
              <w:right w:w="100.0" w:type="dxa"/>
            </w:tcMar>
            <w:vAlign w:val="center"/>
          </w:tcPr>
          <w:p w:rsidR="00000000" w:rsidDel="00000000" w:rsidP="00000000" w:rsidRDefault="00000000" w:rsidRPr="00000000" w14:paraId="00000135">
            <w:pPr>
              <w:widowControl w:val="0"/>
              <w:spacing w:after="0" w:before="0" w:lineRule="auto"/>
              <w:ind w:left="270" w:firstLine="0"/>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136">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Implemented</w:t>
            </w:r>
          </w:p>
          <w:p w:rsidR="00000000" w:rsidDel="00000000" w:rsidP="00000000" w:rsidRDefault="00000000" w:rsidRPr="00000000" w14:paraId="00000137">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(Likely low completeness. Using the real-world database, it is not possible to distinguish between therapeutic and prophylactic antibiotics, leading to potential for misclassification if this criteria were applied.)</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38">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Significant cardiovascular disease, such as New York Heart Association cardiac disease (Class II or greater), myocardial infarction within 3 months prior to randomization, unstable arrhythmias, or unstable angina</w:t>
            </w:r>
          </w:p>
        </w:tc>
        <w:tc>
          <w:tcPr>
            <w:tcMar>
              <w:top w:w="100.0" w:type="dxa"/>
              <w:left w:w="100.0" w:type="dxa"/>
              <w:bottom w:w="100.0" w:type="dxa"/>
              <w:right w:w="100.0" w:type="dxa"/>
            </w:tcMar>
            <w:vAlign w:val="center"/>
          </w:tcPr>
          <w:p w:rsidR="00000000" w:rsidDel="00000000" w:rsidP="00000000" w:rsidRDefault="00000000" w:rsidRPr="00000000" w14:paraId="00000139">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Significant cardiovascular disease, such as New York Heart Association cardiac disease (Class II or greater), myocardial infarction, or </w:t>
            </w:r>
            <w:r w:rsidDel="00000000" w:rsidR="00000000" w:rsidRPr="00000000">
              <w:rPr>
                <w:rFonts w:ascii="Arial" w:cs="Arial" w:eastAsia="Arial" w:hAnsi="Arial"/>
                <w:b w:val="1"/>
                <w:i w:val="1"/>
                <w:sz w:val="20"/>
                <w:szCs w:val="20"/>
                <w:rtl w:val="0"/>
              </w:rPr>
              <w:t xml:space="preserve">cerebrovascular accident </w:t>
            </w:r>
            <w:r w:rsidDel="00000000" w:rsidR="00000000" w:rsidRPr="00000000">
              <w:rPr>
                <w:rFonts w:ascii="Arial" w:cs="Arial" w:eastAsia="Arial" w:hAnsi="Arial"/>
                <w:i w:val="1"/>
                <w:sz w:val="20"/>
                <w:szCs w:val="20"/>
                <w:rtl w:val="0"/>
              </w:rPr>
              <w:t xml:space="preserve">within the 3 months prior to randomization, unstable arrhythmias, or unstable angina</w:t>
            </w:r>
          </w:p>
        </w:tc>
        <w:tc>
          <w:tcPr>
            <w:tcMar>
              <w:top w:w="100.0" w:type="dxa"/>
              <w:left w:w="100.0" w:type="dxa"/>
              <w:bottom w:w="100.0" w:type="dxa"/>
              <w:right w:w="100.0" w:type="dxa"/>
            </w:tcMar>
            <w:vAlign w:val="center"/>
          </w:tcPr>
          <w:p w:rsidR="00000000" w:rsidDel="00000000" w:rsidP="00000000" w:rsidRDefault="00000000" w:rsidRPr="00000000" w14:paraId="0000013A">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Significant cardiovascular disease, such as New York Heart Association cardiac disease (Class II or greater), myocardial infarction, or </w:t>
            </w:r>
            <w:r w:rsidDel="00000000" w:rsidR="00000000" w:rsidRPr="00000000">
              <w:rPr>
                <w:rFonts w:ascii="Arial" w:cs="Arial" w:eastAsia="Arial" w:hAnsi="Arial"/>
                <w:b w:val="1"/>
                <w:i w:val="1"/>
                <w:sz w:val="20"/>
                <w:szCs w:val="20"/>
                <w:rtl w:val="0"/>
              </w:rPr>
              <w:t xml:space="preserve">cerebrovascular</w:t>
            </w:r>
            <w:r w:rsidDel="00000000" w:rsidR="00000000" w:rsidRPr="00000000">
              <w:rPr>
                <w:rFonts w:ascii="Arial" w:cs="Arial" w:eastAsia="Arial" w:hAnsi="Arial"/>
                <w:i w:val="1"/>
                <w:sz w:val="20"/>
                <w:szCs w:val="20"/>
                <w:rtl w:val="0"/>
              </w:rPr>
              <w:t xml:space="preserve"> </w:t>
            </w:r>
            <w:r w:rsidDel="00000000" w:rsidR="00000000" w:rsidRPr="00000000">
              <w:rPr>
                <w:rFonts w:ascii="Arial" w:cs="Arial" w:eastAsia="Arial" w:hAnsi="Arial"/>
                <w:b w:val="1"/>
                <w:i w:val="1"/>
                <w:sz w:val="20"/>
                <w:szCs w:val="20"/>
                <w:rtl w:val="0"/>
              </w:rPr>
              <w:t xml:space="preserve">accident</w:t>
            </w:r>
            <w:r w:rsidDel="00000000" w:rsidR="00000000" w:rsidRPr="00000000">
              <w:rPr>
                <w:rFonts w:ascii="Arial" w:cs="Arial" w:eastAsia="Arial" w:hAnsi="Arial"/>
                <w:i w:val="1"/>
                <w:sz w:val="20"/>
                <w:szCs w:val="20"/>
                <w:rtl w:val="0"/>
              </w:rPr>
              <w:t xml:space="preserve"> within 3 months prior to randomization, unstable arrhythmias, or unstable angina</w:t>
            </w:r>
          </w:p>
        </w:tc>
        <w:tc>
          <w:tcPr>
            <w:tcMar>
              <w:top w:w="100.0" w:type="dxa"/>
              <w:left w:w="100.0" w:type="dxa"/>
              <w:bottom w:w="100.0" w:type="dxa"/>
              <w:right w:w="100.0" w:type="dxa"/>
            </w:tcMar>
            <w:vAlign w:val="center"/>
          </w:tcPr>
          <w:p w:rsidR="00000000" w:rsidDel="00000000" w:rsidP="00000000" w:rsidRDefault="00000000" w:rsidRPr="00000000" w14:paraId="0000013B">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13C">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in real-world database)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3D">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Major surgical procedure other than for diagnosis within 28 days prior to randomization or anticipation of need for a major surgical procedure during the course of the study</w:t>
            </w:r>
          </w:p>
        </w:tc>
        <w:tc>
          <w:tcPr>
            <w:tcMar>
              <w:top w:w="100.0" w:type="dxa"/>
              <w:left w:w="100.0" w:type="dxa"/>
              <w:bottom w:w="100.0" w:type="dxa"/>
              <w:right w:w="100.0" w:type="dxa"/>
            </w:tcMar>
            <w:vAlign w:val="center"/>
          </w:tcPr>
          <w:p w:rsidR="00000000" w:rsidDel="00000000" w:rsidP="00000000" w:rsidRDefault="00000000" w:rsidRPr="00000000" w14:paraId="0000013E">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Major surgical procedure other than for diagnosis within 28 days prior to randomization or anticipation of need for a major surgical procedure during the course of the study</w:t>
            </w:r>
          </w:p>
        </w:tc>
        <w:tc>
          <w:tcPr>
            <w:tcMar>
              <w:top w:w="100.0" w:type="dxa"/>
              <w:left w:w="100.0" w:type="dxa"/>
              <w:bottom w:w="100.0" w:type="dxa"/>
              <w:right w:w="100.0" w:type="dxa"/>
            </w:tcMar>
            <w:vAlign w:val="center"/>
          </w:tcPr>
          <w:p w:rsidR="00000000" w:rsidDel="00000000" w:rsidP="00000000" w:rsidRDefault="00000000" w:rsidRPr="00000000" w14:paraId="0000013F">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Major surgical procedure other than for diagnosis within 28 days prior to randomization or anticipation of need for a major surgical procedure during the course of the study</w:t>
            </w:r>
          </w:p>
        </w:tc>
        <w:tc>
          <w:tcPr>
            <w:tcMar>
              <w:top w:w="100.0" w:type="dxa"/>
              <w:left w:w="100.0" w:type="dxa"/>
              <w:bottom w:w="100.0" w:type="dxa"/>
              <w:right w:w="100.0" w:type="dxa"/>
            </w:tcMar>
            <w:vAlign w:val="center"/>
          </w:tcPr>
          <w:p w:rsidR="00000000" w:rsidDel="00000000" w:rsidP="00000000" w:rsidRDefault="00000000" w:rsidRPr="00000000" w14:paraId="00000140">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141">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in real-world database)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42">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 allogeneic bone marrow transplantation or solid organ transplant</w:t>
            </w:r>
          </w:p>
        </w:tc>
        <w:tc>
          <w:tcPr>
            <w:tcMar>
              <w:top w:w="100.0" w:type="dxa"/>
              <w:left w:w="100.0" w:type="dxa"/>
              <w:bottom w:w="100.0" w:type="dxa"/>
              <w:right w:w="100.0" w:type="dxa"/>
            </w:tcMar>
            <w:vAlign w:val="center"/>
          </w:tcPr>
          <w:p w:rsidR="00000000" w:rsidDel="00000000" w:rsidP="00000000" w:rsidRDefault="00000000" w:rsidRPr="00000000" w14:paraId="00000143">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 allogeneic bone marrow transplantation or solid organ transplant</w:t>
            </w:r>
          </w:p>
        </w:tc>
        <w:tc>
          <w:tcPr>
            <w:tcMar>
              <w:top w:w="100.0" w:type="dxa"/>
              <w:left w:w="100.0" w:type="dxa"/>
              <w:bottom w:w="100.0" w:type="dxa"/>
              <w:right w:w="100.0" w:type="dxa"/>
            </w:tcMar>
            <w:vAlign w:val="center"/>
          </w:tcPr>
          <w:p w:rsidR="00000000" w:rsidDel="00000000" w:rsidP="00000000" w:rsidRDefault="00000000" w:rsidRPr="00000000" w14:paraId="00000144">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 allogeneic bone marrow transplantation or solid organ transplant</w:t>
            </w:r>
          </w:p>
        </w:tc>
        <w:tc>
          <w:tcPr>
            <w:tcMar>
              <w:top w:w="100.0" w:type="dxa"/>
              <w:left w:w="100.0" w:type="dxa"/>
              <w:bottom w:w="100.0" w:type="dxa"/>
              <w:right w:w="100.0" w:type="dxa"/>
            </w:tcMar>
            <w:vAlign w:val="center"/>
          </w:tcPr>
          <w:p w:rsidR="00000000" w:rsidDel="00000000" w:rsidP="00000000" w:rsidRDefault="00000000" w:rsidRPr="00000000" w14:paraId="00000145">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146">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in real-world database)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47">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Administration of a live, attenuated vaccine within 4 weeks before randomization or anticipation that such a live attenuated vaccine will be required during the study</w:t>
            </w:r>
          </w:p>
        </w:tc>
        <w:tc>
          <w:tcPr>
            <w:tcMar>
              <w:top w:w="100.0" w:type="dxa"/>
              <w:left w:w="100.0" w:type="dxa"/>
              <w:bottom w:w="100.0" w:type="dxa"/>
              <w:right w:w="100.0" w:type="dxa"/>
            </w:tcMar>
            <w:vAlign w:val="center"/>
          </w:tcPr>
          <w:p w:rsidR="00000000" w:rsidDel="00000000" w:rsidP="00000000" w:rsidRDefault="00000000" w:rsidRPr="00000000" w14:paraId="00000148">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Administration of a live, attenuated vaccine within 4 weeks before randomization or anticipation that such a live attenuated vaccine will be required during the study</w:t>
            </w:r>
          </w:p>
        </w:tc>
        <w:tc>
          <w:tcPr>
            <w:tcMar>
              <w:top w:w="100.0" w:type="dxa"/>
              <w:left w:w="100.0" w:type="dxa"/>
              <w:bottom w:w="100.0" w:type="dxa"/>
              <w:right w:w="100.0" w:type="dxa"/>
            </w:tcMar>
            <w:vAlign w:val="center"/>
          </w:tcPr>
          <w:p w:rsidR="00000000" w:rsidDel="00000000" w:rsidP="00000000" w:rsidRDefault="00000000" w:rsidRPr="00000000" w14:paraId="00000149">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Administration of a live attenuated vaccine within 4 weeks before randomization or</w:t>
            </w:r>
          </w:p>
          <w:p w:rsidR="00000000" w:rsidDel="00000000" w:rsidP="00000000" w:rsidRDefault="00000000" w:rsidRPr="00000000" w14:paraId="0000014A">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anticipation that such a live attenuated vaccine would be required during the study</w:t>
            </w:r>
          </w:p>
        </w:tc>
        <w:tc>
          <w:tcPr>
            <w:tcMar>
              <w:top w:w="100.0" w:type="dxa"/>
              <w:left w:w="100.0" w:type="dxa"/>
              <w:bottom w:w="100.0" w:type="dxa"/>
              <w:right w:w="100.0" w:type="dxa"/>
            </w:tcMar>
            <w:vAlign w:val="center"/>
          </w:tcPr>
          <w:p w:rsidR="00000000" w:rsidDel="00000000" w:rsidP="00000000" w:rsidRDefault="00000000" w:rsidRPr="00000000" w14:paraId="0000014B">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14C">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in real-world database)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4D">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Any other diseases, metabolic dysfunction, physical examination finding, or clinical laboratory finding giving reasonable suspicion of a disease or condition that contraindicates the use of an investigational drug or that may affect the interpretation of the results or render the patient at high risk from treatment complications</w:t>
            </w:r>
          </w:p>
        </w:tc>
        <w:tc>
          <w:tcPr>
            <w:tcMar>
              <w:top w:w="100.0" w:type="dxa"/>
              <w:left w:w="100.0" w:type="dxa"/>
              <w:bottom w:w="100.0" w:type="dxa"/>
              <w:right w:w="100.0" w:type="dxa"/>
            </w:tcMar>
            <w:vAlign w:val="center"/>
          </w:tcPr>
          <w:p w:rsidR="00000000" w:rsidDel="00000000" w:rsidP="00000000" w:rsidRDefault="00000000" w:rsidRPr="00000000" w14:paraId="0000014E">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Any other diseases, metabolic dysfunction, physical examination finding, or clinical laboratory finding giving reasonable suspicion of a disease or condition that contraindicates the use of an investigational drug or that may affect the interpretation of the results or render the patient at high risk from treatment complications</w:t>
            </w:r>
          </w:p>
        </w:tc>
        <w:tc>
          <w:tcPr>
            <w:tcMar>
              <w:top w:w="100.0" w:type="dxa"/>
              <w:left w:w="100.0" w:type="dxa"/>
              <w:bottom w:w="100.0" w:type="dxa"/>
              <w:right w:w="100.0" w:type="dxa"/>
            </w:tcMar>
            <w:vAlign w:val="center"/>
          </w:tcPr>
          <w:p w:rsidR="00000000" w:rsidDel="00000000" w:rsidP="00000000" w:rsidRDefault="00000000" w:rsidRPr="00000000" w14:paraId="0000014F">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Any other diseases, metabolic dysfunction, physical examination finding, or clinical laboratory finding giving reasonable suspicion of a disease or condition that contraindicated the use of an investigational drug or that may have affected the interpretation of the results or rendered the patient at high risk from treatment complications</w:t>
            </w:r>
          </w:p>
        </w:tc>
        <w:tc>
          <w:tcPr>
            <w:tcMar>
              <w:top w:w="100.0" w:type="dxa"/>
              <w:left w:w="100.0" w:type="dxa"/>
              <w:bottom w:w="100.0" w:type="dxa"/>
              <w:right w:w="100.0" w:type="dxa"/>
            </w:tcMar>
            <w:vAlign w:val="center"/>
          </w:tcPr>
          <w:p w:rsidR="00000000" w:rsidDel="00000000" w:rsidP="00000000" w:rsidRDefault="00000000" w:rsidRPr="00000000" w14:paraId="00000150">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151">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in real-world database)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52">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N/A</w:t>
            </w:r>
          </w:p>
        </w:tc>
        <w:tc>
          <w:tcPr>
            <w:tcMar>
              <w:top w:w="100.0" w:type="dxa"/>
              <w:left w:w="100.0" w:type="dxa"/>
              <w:bottom w:w="100.0" w:type="dxa"/>
              <w:right w:w="100.0" w:type="dxa"/>
            </w:tcMar>
            <w:vAlign w:val="center"/>
          </w:tcPr>
          <w:p w:rsidR="00000000" w:rsidDel="00000000" w:rsidP="00000000" w:rsidRDefault="00000000" w:rsidRPr="00000000" w14:paraId="00000153">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Patients with illnesses or conditions that interfere with their capacity to understand, follow and/or comply with study procedures</w:t>
            </w:r>
          </w:p>
        </w:tc>
        <w:tc>
          <w:tcPr>
            <w:tcMar>
              <w:top w:w="100.0" w:type="dxa"/>
              <w:left w:w="100.0" w:type="dxa"/>
              <w:bottom w:w="100.0" w:type="dxa"/>
              <w:right w:w="100.0" w:type="dxa"/>
            </w:tcMar>
            <w:vAlign w:val="center"/>
          </w:tcPr>
          <w:p w:rsidR="00000000" w:rsidDel="00000000" w:rsidP="00000000" w:rsidRDefault="00000000" w:rsidRPr="00000000" w14:paraId="00000154">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Illness or condition that may have interfered with a patient’s capacity to understand, follow, and/or comply with study procedures</w:t>
            </w:r>
          </w:p>
        </w:tc>
        <w:tc>
          <w:tcPr>
            <w:tcMar>
              <w:top w:w="100.0" w:type="dxa"/>
              <w:left w:w="100.0" w:type="dxa"/>
              <w:bottom w:w="100.0" w:type="dxa"/>
              <w:right w:w="100.0" w:type="dxa"/>
            </w:tcMar>
            <w:vAlign w:val="center"/>
          </w:tcPr>
          <w:p w:rsidR="00000000" w:rsidDel="00000000" w:rsidP="00000000" w:rsidRDefault="00000000" w:rsidRPr="00000000" w14:paraId="00000155">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156">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in real-world database)</w:t>
            </w:r>
          </w:p>
        </w:tc>
      </w:tr>
      <w:tr>
        <w:trPr>
          <w:cantSplit w:val="0"/>
          <w:trHeight w:val="400" w:hRule="atLeast"/>
          <w:tblHeader w:val="0"/>
        </w:trPr>
        <w:tc>
          <w:tcPr>
            <w:gridSpan w:val="4"/>
            <w:tcMar>
              <w:top w:w="100.0" w:type="dxa"/>
              <w:left w:w="100.0" w:type="dxa"/>
              <w:bottom w:w="100.0" w:type="dxa"/>
              <w:right w:w="100.0" w:type="dxa"/>
            </w:tcMar>
            <w:vAlign w:val="center"/>
          </w:tcPr>
          <w:p w:rsidR="00000000" w:rsidDel="00000000" w:rsidP="00000000" w:rsidRDefault="00000000" w:rsidRPr="00000000" w14:paraId="00000157">
            <w:pPr>
              <w:widowControl w:val="0"/>
              <w:spacing w:after="0" w:before="0" w:lineRule="auto"/>
              <w:ind w:left="270" w:firstLine="0"/>
              <w:rPr>
                <w:rFonts w:ascii="Arial" w:cs="Arial" w:eastAsia="Arial" w:hAnsi="Arial"/>
                <w:i w:val="1"/>
                <w:sz w:val="20"/>
                <w:szCs w:val="20"/>
              </w:rPr>
            </w:pPr>
            <w:r w:rsidDel="00000000" w:rsidR="00000000" w:rsidRPr="00000000">
              <w:rPr>
                <w:rtl w:val="0"/>
              </w:rPr>
            </w:r>
          </w:p>
        </w:tc>
      </w:tr>
      <w:tr>
        <w:trPr>
          <w:cantSplit w:val="0"/>
          <w:trHeight w:val="400" w:hRule="atLeast"/>
          <w:tblHeader w:val="0"/>
        </w:trPr>
        <w:tc>
          <w:tcPr>
            <w:gridSpan w:val="4"/>
            <w:tcMar>
              <w:top w:w="100.0" w:type="dxa"/>
              <w:left w:w="100.0" w:type="dxa"/>
              <w:bottom w:w="100.0" w:type="dxa"/>
              <w:right w:w="100.0" w:type="dxa"/>
            </w:tcMar>
            <w:vAlign w:val="center"/>
          </w:tcPr>
          <w:p w:rsidR="00000000" w:rsidDel="00000000" w:rsidP="00000000" w:rsidRDefault="00000000" w:rsidRPr="00000000" w14:paraId="0000015B">
            <w:pPr>
              <w:widowControl w:val="0"/>
              <w:spacing w:after="0" w:before="0" w:lineRule="auto"/>
              <w:ind w:left="270" w:firstLine="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Exclusion Criteria Related to Medications</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5F">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NA</w:t>
            </w:r>
          </w:p>
        </w:tc>
        <w:tc>
          <w:tcPr>
            <w:tcMar>
              <w:top w:w="100.0" w:type="dxa"/>
              <w:left w:w="100.0" w:type="dxa"/>
              <w:bottom w:w="100.0" w:type="dxa"/>
              <w:right w:w="100.0" w:type="dxa"/>
            </w:tcMar>
            <w:vAlign w:val="center"/>
          </w:tcPr>
          <w:p w:rsidR="00000000" w:rsidDel="00000000" w:rsidP="00000000" w:rsidRDefault="00000000" w:rsidRPr="00000000" w14:paraId="00000160">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NA</w:t>
            </w:r>
          </w:p>
        </w:tc>
        <w:tc>
          <w:tcPr>
            <w:tcMar>
              <w:top w:w="100.0" w:type="dxa"/>
              <w:left w:w="100.0" w:type="dxa"/>
              <w:bottom w:w="100.0" w:type="dxa"/>
              <w:right w:w="100.0" w:type="dxa"/>
            </w:tcMar>
            <w:vAlign w:val="center"/>
          </w:tcPr>
          <w:p w:rsidR="00000000" w:rsidDel="00000000" w:rsidP="00000000" w:rsidRDefault="00000000" w:rsidRPr="00000000" w14:paraId="00000161">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 treatment with EGFR inhibitors or ALK inhibitors</w:t>
            </w:r>
          </w:p>
        </w:tc>
        <w:tc>
          <w:tcPr>
            <w:tcMar>
              <w:top w:w="100.0" w:type="dxa"/>
              <w:left w:w="100.0" w:type="dxa"/>
              <w:bottom w:w="100.0" w:type="dxa"/>
              <w:right w:w="100.0" w:type="dxa"/>
            </w:tcMar>
            <w:vAlign w:val="center"/>
          </w:tcPr>
          <w:p w:rsidR="00000000" w:rsidDel="00000000" w:rsidP="00000000" w:rsidRDefault="00000000" w:rsidRPr="00000000" w14:paraId="00000162">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Implemented</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63">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Any approved anti-cancer therapy, including chemotherapy, or hormonal therapy within 3 weeks prior to initiation of study treatment; the following exceptions are allowed:</w:t>
            </w:r>
          </w:p>
          <w:p w:rsidR="00000000" w:rsidDel="00000000" w:rsidP="00000000" w:rsidRDefault="00000000" w:rsidRPr="00000000" w14:paraId="00000164">
            <w:pPr>
              <w:widowControl w:val="0"/>
              <w:numPr>
                <w:ilvl w:val="0"/>
                <w:numId w:val="13"/>
              </w:numPr>
              <w:spacing w:after="0" w:before="0" w:lineRule="auto"/>
              <w:ind w:left="720" w:hanging="36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Hormone-replacement therapy or oral contraceptives;</w:t>
            </w:r>
          </w:p>
          <w:p w:rsidR="00000000" w:rsidDel="00000000" w:rsidP="00000000" w:rsidRDefault="00000000" w:rsidRPr="00000000" w14:paraId="00000165">
            <w:pPr>
              <w:widowControl w:val="0"/>
              <w:numPr>
                <w:ilvl w:val="0"/>
                <w:numId w:val="13"/>
              </w:numPr>
              <w:spacing w:after="0" w:before="0" w:lineRule="auto"/>
              <w:ind w:left="720" w:hanging="36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TKIs approved for treatment of NSCLC discontinued 7 days prior to randomization.</w:t>
            </w:r>
          </w:p>
          <w:p w:rsidR="00000000" w:rsidDel="00000000" w:rsidP="00000000" w:rsidRDefault="00000000" w:rsidRPr="00000000" w14:paraId="00000166">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The baseline scan must be obtained after discontinuation of prior TKIs.</w:t>
            </w:r>
          </w:p>
        </w:tc>
        <w:tc>
          <w:tcPr>
            <w:tcMar>
              <w:top w:w="100.0" w:type="dxa"/>
              <w:left w:w="100.0" w:type="dxa"/>
              <w:bottom w:w="100.0" w:type="dxa"/>
              <w:right w:w="100.0" w:type="dxa"/>
            </w:tcMar>
            <w:vAlign w:val="center"/>
          </w:tcPr>
          <w:p w:rsidR="00000000" w:rsidDel="00000000" w:rsidP="00000000" w:rsidRDefault="00000000" w:rsidRPr="00000000" w14:paraId="00000167">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Any approved anti-cancer therapy, including hormonal therapy, within 21 days prior to initiation of study treatment; the following exceptions are allowed: </w:t>
            </w:r>
          </w:p>
          <w:p w:rsidR="00000000" w:rsidDel="00000000" w:rsidP="00000000" w:rsidRDefault="00000000" w:rsidRPr="00000000" w14:paraId="00000168">
            <w:pPr>
              <w:widowControl w:val="0"/>
              <w:numPr>
                <w:ilvl w:val="0"/>
                <w:numId w:val="10"/>
              </w:numPr>
              <w:spacing w:after="0" w:before="0" w:lineRule="auto"/>
              <w:ind w:left="720" w:hanging="360"/>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TKIs approved for treatment of NSCLC discontinued  7 days prior to randomization. </w:t>
            </w:r>
          </w:p>
          <w:p w:rsidR="00000000" w:rsidDel="00000000" w:rsidP="00000000" w:rsidRDefault="00000000" w:rsidRPr="00000000" w14:paraId="00000169">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The baseline scan must be obtained after discontinuation of prior TKIs.</w:t>
            </w:r>
          </w:p>
        </w:tc>
        <w:tc>
          <w:tcPr>
            <w:tcMar>
              <w:top w:w="100.0" w:type="dxa"/>
              <w:left w:w="100.0" w:type="dxa"/>
              <w:bottom w:w="100.0" w:type="dxa"/>
              <w:right w:w="100.0" w:type="dxa"/>
            </w:tcMar>
            <w:vAlign w:val="center"/>
          </w:tcPr>
          <w:p w:rsidR="00000000" w:rsidDel="00000000" w:rsidP="00000000" w:rsidRDefault="00000000" w:rsidRPr="00000000" w14:paraId="0000016A">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Any approved anti-cancer therapy, including hormonal therapy within 21 days prior</w:t>
            </w:r>
          </w:p>
          <w:p w:rsidR="00000000" w:rsidDel="00000000" w:rsidP="00000000" w:rsidRDefault="00000000" w:rsidRPr="00000000" w14:paraId="0000016B">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to initiation of study treatment.</w:t>
            </w:r>
          </w:p>
        </w:tc>
        <w:tc>
          <w:tcPr>
            <w:tcMar>
              <w:top w:w="100.0" w:type="dxa"/>
              <w:left w:w="100.0" w:type="dxa"/>
              <w:bottom w:w="100.0" w:type="dxa"/>
              <w:right w:w="100.0" w:type="dxa"/>
            </w:tcMar>
            <w:vAlign w:val="center"/>
          </w:tcPr>
          <w:p w:rsidR="00000000" w:rsidDel="00000000" w:rsidP="00000000" w:rsidRDefault="00000000" w:rsidRPr="00000000" w14:paraId="0000016C">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Implemented </w:t>
            </w:r>
          </w:p>
          <w:p w:rsidR="00000000" w:rsidDel="00000000" w:rsidP="00000000" w:rsidRDefault="00000000" w:rsidRPr="00000000" w14:paraId="0000016D">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(Same)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6E">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Treatment with any other investigational agent or participation in another clinical study with therapeutic intent within 28 days prior to randomization</w:t>
            </w:r>
          </w:p>
        </w:tc>
        <w:tc>
          <w:tcPr>
            <w:tcMar>
              <w:top w:w="100.0" w:type="dxa"/>
              <w:left w:w="100.0" w:type="dxa"/>
              <w:bottom w:w="100.0" w:type="dxa"/>
              <w:right w:w="100.0" w:type="dxa"/>
            </w:tcMar>
            <w:vAlign w:val="center"/>
          </w:tcPr>
          <w:p w:rsidR="00000000" w:rsidDel="00000000" w:rsidP="00000000" w:rsidRDefault="00000000" w:rsidRPr="00000000" w14:paraId="0000016F">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Treatment with any other investigational agent with therapeutic intent within 28 days prior to randomization</w:t>
            </w:r>
          </w:p>
        </w:tc>
        <w:tc>
          <w:tcPr>
            <w:tcMar>
              <w:top w:w="100.0" w:type="dxa"/>
              <w:left w:w="100.0" w:type="dxa"/>
              <w:bottom w:w="100.0" w:type="dxa"/>
              <w:right w:w="100.0" w:type="dxa"/>
            </w:tcMar>
            <w:vAlign w:val="center"/>
          </w:tcPr>
          <w:p w:rsidR="00000000" w:rsidDel="00000000" w:rsidP="00000000" w:rsidRDefault="00000000" w:rsidRPr="00000000" w14:paraId="00000170">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Treatment with any other investigational agent with therapeutic intent within 28 days prior to randomization</w:t>
            </w:r>
          </w:p>
        </w:tc>
        <w:tc>
          <w:tcPr>
            <w:tcMar>
              <w:top w:w="100.0" w:type="dxa"/>
              <w:left w:w="100.0" w:type="dxa"/>
              <w:bottom w:w="100.0" w:type="dxa"/>
              <w:right w:w="100.0" w:type="dxa"/>
            </w:tcMar>
            <w:vAlign w:val="center"/>
          </w:tcPr>
          <w:p w:rsidR="00000000" w:rsidDel="00000000" w:rsidP="00000000" w:rsidRDefault="00000000" w:rsidRPr="00000000" w14:paraId="00000171">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172">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necessary since patients receiving clinical study drug in a prior line will not be eligible.)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73">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 treatment with CD137 agonists or immune checkpoint blockade therapies, anti-PD-1, and anti-PD-L1 therapeutic antibodies</w:t>
            </w:r>
          </w:p>
        </w:tc>
        <w:tc>
          <w:tcPr>
            <w:tcMar>
              <w:top w:w="100.0" w:type="dxa"/>
              <w:left w:w="100.0" w:type="dxa"/>
              <w:bottom w:w="100.0" w:type="dxa"/>
              <w:right w:w="100.0" w:type="dxa"/>
            </w:tcMar>
            <w:vAlign w:val="center"/>
          </w:tcPr>
          <w:p w:rsidR="00000000" w:rsidDel="00000000" w:rsidP="00000000" w:rsidRDefault="00000000" w:rsidRPr="00000000" w14:paraId="00000174">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 treatment with CD137 agonists or immune checkpoint blockade therapies, anti-PD-1, and anti-PD-L1 therapeutic antibodies</w:t>
            </w:r>
          </w:p>
        </w:tc>
        <w:tc>
          <w:tcPr>
            <w:tcMar>
              <w:top w:w="100.0" w:type="dxa"/>
              <w:left w:w="100.0" w:type="dxa"/>
              <w:bottom w:w="100.0" w:type="dxa"/>
              <w:right w:w="100.0" w:type="dxa"/>
            </w:tcMar>
            <w:vAlign w:val="center"/>
          </w:tcPr>
          <w:p w:rsidR="00000000" w:rsidDel="00000000" w:rsidP="00000000" w:rsidRDefault="00000000" w:rsidRPr="00000000" w14:paraId="00000175">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Prior treatment with CD137 agonists or immune checkpoint blockade therapies, antiPD-1, and antiPD-L1 therapeutic antibodies</w:t>
            </w:r>
          </w:p>
        </w:tc>
        <w:tc>
          <w:tcPr>
            <w:tcMar>
              <w:top w:w="100.0" w:type="dxa"/>
              <w:left w:w="100.0" w:type="dxa"/>
              <w:bottom w:w="100.0" w:type="dxa"/>
              <w:right w:w="100.0" w:type="dxa"/>
            </w:tcMar>
            <w:vAlign w:val="center"/>
          </w:tcPr>
          <w:p w:rsidR="00000000" w:rsidDel="00000000" w:rsidP="00000000" w:rsidRDefault="00000000" w:rsidRPr="00000000" w14:paraId="00000176">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Implemented</w:t>
            </w:r>
          </w:p>
          <w:p w:rsidR="00000000" w:rsidDel="00000000" w:rsidP="00000000" w:rsidRDefault="00000000" w:rsidRPr="00000000" w14:paraId="00000177">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(Same)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78">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Treatment with systemic immunostimulatory agents (including but not limited to IFNs, IL-2) within 4 weeks or five half-lives of the drug, whichever is longer, prior to randomization</w:t>
            </w:r>
          </w:p>
        </w:tc>
        <w:tc>
          <w:tcPr>
            <w:tcMar>
              <w:top w:w="100.0" w:type="dxa"/>
              <w:left w:w="100.0" w:type="dxa"/>
              <w:bottom w:w="100.0" w:type="dxa"/>
              <w:right w:w="100.0" w:type="dxa"/>
            </w:tcMar>
            <w:vAlign w:val="center"/>
          </w:tcPr>
          <w:p w:rsidR="00000000" w:rsidDel="00000000" w:rsidP="00000000" w:rsidRDefault="00000000" w:rsidRPr="00000000" w14:paraId="00000179">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Treatment with systemic immunostimulatory agents (including, but not limited to, IFNs, IL-2) within 4 weeks or five half-lives of the drug, whichever is longer, prior to randomization</w:t>
            </w:r>
          </w:p>
        </w:tc>
        <w:tc>
          <w:tcPr>
            <w:tcMar>
              <w:top w:w="100.0" w:type="dxa"/>
              <w:left w:w="100.0" w:type="dxa"/>
              <w:bottom w:w="100.0" w:type="dxa"/>
              <w:right w:w="100.0" w:type="dxa"/>
            </w:tcMar>
            <w:vAlign w:val="center"/>
          </w:tcPr>
          <w:p w:rsidR="00000000" w:rsidDel="00000000" w:rsidP="00000000" w:rsidRDefault="00000000" w:rsidRPr="00000000" w14:paraId="0000017A">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Treatment with systemic immunostimulatory agents (including, but not limited to, interferons, interleukin 2) within 4 weeks or 5 half-lives of the drug, whichever was longer, prior to randomization</w:t>
            </w:r>
          </w:p>
        </w:tc>
        <w:tc>
          <w:tcPr>
            <w:tcMar>
              <w:top w:w="100.0" w:type="dxa"/>
              <w:left w:w="100.0" w:type="dxa"/>
              <w:bottom w:w="100.0" w:type="dxa"/>
              <w:right w:w="100.0" w:type="dxa"/>
            </w:tcMar>
            <w:vAlign w:val="center"/>
          </w:tcPr>
          <w:p w:rsidR="00000000" w:rsidDel="00000000" w:rsidP="00000000" w:rsidRDefault="00000000" w:rsidRPr="00000000" w14:paraId="0000017B">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w:t>
            </w:r>
          </w:p>
          <w:p w:rsidR="00000000" w:rsidDel="00000000" w:rsidP="00000000" w:rsidRDefault="00000000" w:rsidRPr="00000000" w14:paraId="0000017C">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(Likely low prevalence)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7D">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Treatment with systemic immunosuppressive medications (including but not limited to </w:t>
            </w:r>
            <w:r w:rsidDel="00000000" w:rsidR="00000000" w:rsidRPr="00000000">
              <w:rPr>
                <w:rFonts w:ascii="Arial" w:cs="Arial" w:eastAsia="Arial" w:hAnsi="Arial"/>
                <w:b w:val="1"/>
                <w:i w:val="1"/>
                <w:sz w:val="20"/>
                <w:szCs w:val="20"/>
                <w:rtl w:val="0"/>
              </w:rPr>
              <w:t xml:space="preserve">prednisone</w:t>
            </w:r>
            <w:r w:rsidDel="00000000" w:rsidR="00000000" w:rsidRPr="00000000">
              <w:rPr>
                <w:rFonts w:ascii="Arial" w:cs="Arial" w:eastAsia="Arial" w:hAnsi="Arial"/>
                <w:i w:val="1"/>
                <w:sz w:val="20"/>
                <w:szCs w:val="20"/>
                <w:rtl w:val="0"/>
              </w:rPr>
              <w:t xml:space="preserve">, cyclophosphamide, azathioprine, methotrexate, thalidomide, and anti-TNF agents) within 2 weeks prior to randomization</w:t>
            </w:r>
          </w:p>
        </w:tc>
        <w:tc>
          <w:tcPr>
            <w:tcMar>
              <w:top w:w="100.0" w:type="dxa"/>
              <w:left w:w="100.0" w:type="dxa"/>
              <w:bottom w:w="100.0" w:type="dxa"/>
              <w:right w:w="100.0" w:type="dxa"/>
            </w:tcMar>
            <w:vAlign w:val="center"/>
          </w:tcPr>
          <w:p w:rsidR="00000000" w:rsidDel="00000000" w:rsidP="00000000" w:rsidRDefault="00000000" w:rsidRPr="00000000" w14:paraId="0000017E">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Treatment with systemic immunosuppressive medications (including, but not limited to, corticosteroids, cyclophosphamide, azathioprine, methotrexate, thalidomide, and anti-TNF agents) within 2 weeks prior to randomization</w:t>
            </w:r>
          </w:p>
        </w:tc>
        <w:tc>
          <w:tcPr>
            <w:tcMar>
              <w:top w:w="100.0" w:type="dxa"/>
              <w:left w:w="100.0" w:type="dxa"/>
              <w:bottom w:w="100.0" w:type="dxa"/>
              <w:right w:w="100.0" w:type="dxa"/>
            </w:tcMar>
            <w:vAlign w:val="center"/>
          </w:tcPr>
          <w:p w:rsidR="00000000" w:rsidDel="00000000" w:rsidP="00000000" w:rsidRDefault="00000000" w:rsidRPr="00000000" w14:paraId="0000017F">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Treatment with systemic immunosuppressive medications (including, but not limited to, corticosteroids, cyclophosphamide, azathioprine, methotrexate, thalidomide, and anti-TNF agents) within 2 weeks prior to randomization</w:t>
            </w:r>
          </w:p>
        </w:tc>
        <w:tc>
          <w:tcPr>
            <w:tcMar>
              <w:top w:w="100.0" w:type="dxa"/>
              <w:left w:w="100.0" w:type="dxa"/>
              <w:bottom w:w="100.0" w:type="dxa"/>
              <w:right w:w="100.0" w:type="dxa"/>
            </w:tcMar>
            <w:vAlign w:val="center"/>
          </w:tcPr>
          <w:p w:rsidR="00000000" w:rsidDel="00000000" w:rsidP="00000000" w:rsidRDefault="00000000" w:rsidRPr="00000000" w14:paraId="00000180">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181">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(This criteria likely cannot be accurately implemented using data captured in the real-world database. Completeness of medications captured in structured orders is likely low, and describing exposure to those medications requires assumptions.)</w:t>
            </w:r>
          </w:p>
        </w:tc>
      </w:tr>
      <w:tr>
        <w:trPr>
          <w:cantSplit w:val="0"/>
          <w:trHeight w:val="400" w:hRule="atLeast"/>
          <w:tblHeader w:val="0"/>
        </w:trPr>
        <w:tc>
          <w:tcPr>
            <w:gridSpan w:val="4"/>
            <w:tcMar>
              <w:top w:w="100.0" w:type="dxa"/>
              <w:left w:w="100.0" w:type="dxa"/>
              <w:bottom w:w="100.0" w:type="dxa"/>
              <w:right w:w="100.0" w:type="dxa"/>
            </w:tcMar>
            <w:vAlign w:val="center"/>
          </w:tcPr>
          <w:p w:rsidR="00000000" w:rsidDel="00000000" w:rsidP="00000000" w:rsidRDefault="00000000" w:rsidRPr="00000000" w14:paraId="00000182">
            <w:pPr>
              <w:widowControl w:val="0"/>
              <w:spacing w:after="0" w:before="0" w:lineRule="auto"/>
              <w:ind w:left="270" w:firstLine="0"/>
              <w:rPr>
                <w:rFonts w:ascii="Arial" w:cs="Arial" w:eastAsia="Arial" w:hAnsi="Arial"/>
                <w:i w:val="1"/>
                <w:sz w:val="20"/>
                <w:szCs w:val="20"/>
              </w:rPr>
            </w:pPr>
            <w:r w:rsidDel="00000000" w:rsidR="00000000" w:rsidRPr="00000000">
              <w:rPr>
                <w:rtl w:val="0"/>
              </w:rPr>
            </w:r>
          </w:p>
        </w:tc>
      </w:tr>
      <w:tr>
        <w:trPr>
          <w:cantSplit w:val="0"/>
          <w:trHeight w:val="400" w:hRule="atLeast"/>
          <w:tblHeader w:val="0"/>
        </w:trPr>
        <w:tc>
          <w:tcPr>
            <w:gridSpan w:val="4"/>
            <w:tcMar>
              <w:top w:w="100.0" w:type="dxa"/>
              <w:left w:w="100.0" w:type="dxa"/>
              <w:bottom w:w="100.0" w:type="dxa"/>
              <w:right w:w="100.0" w:type="dxa"/>
            </w:tcMar>
            <w:vAlign w:val="center"/>
          </w:tcPr>
          <w:p w:rsidR="00000000" w:rsidDel="00000000" w:rsidP="00000000" w:rsidRDefault="00000000" w:rsidRPr="00000000" w14:paraId="00000186">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b w:val="1"/>
                <w:i w:val="1"/>
                <w:sz w:val="20"/>
                <w:szCs w:val="20"/>
                <w:rtl w:val="0"/>
              </w:rPr>
              <w:t xml:space="preserve">Exclusion Criteria Related to Chemotherapy</w:t>
            </w:r>
            <w:r w:rsidDel="00000000" w:rsidR="00000000" w:rsidRPr="00000000">
              <w:rPr>
                <w:rtl w:val="0"/>
              </w:rPr>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8A">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Known history of severe allergic reactions to platinum-containing compounds or mannitol</w:t>
            </w:r>
          </w:p>
        </w:tc>
        <w:tc>
          <w:tcPr>
            <w:tcMar>
              <w:top w:w="100.0" w:type="dxa"/>
              <w:left w:w="100.0" w:type="dxa"/>
              <w:bottom w:w="100.0" w:type="dxa"/>
              <w:right w:w="100.0" w:type="dxa"/>
            </w:tcMar>
            <w:vAlign w:val="center"/>
          </w:tcPr>
          <w:p w:rsidR="00000000" w:rsidDel="00000000" w:rsidP="00000000" w:rsidRDefault="00000000" w:rsidRPr="00000000" w14:paraId="0000018B">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Known history of severe allergic reactions to platinum-containing compounds or mannitol</w:t>
            </w:r>
          </w:p>
        </w:tc>
        <w:tc>
          <w:tcPr>
            <w:tcMar>
              <w:top w:w="100.0" w:type="dxa"/>
              <w:left w:w="100.0" w:type="dxa"/>
              <w:bottom w:w="100.0" w:type="dxa"/>
              <w:right w:w="100.0" w:type="dxa"/>
            </w:tcMar>
            <w:vAlign w:val="center"/>
          </w:tcPr>
          <w:p w:rsidR="00000000" w:rsidDel="00000000" w:rsidP="00000000" w:rsidRDefault="00000000" w:rsidRPr="00000000" w14:paraId="0000018C">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History of allergic reactions to cisplatin, carboplatin, or other platinum-containing compounds</w:t>
            </w:r>
          </w:p>
        </w:tc>
        <w:tc>
          <w:tcPr>
            <w:tcMar>
              <w:top w:w="100.0" w:type="dxa"/>
              <w:left w:w="100.0" w:type="dxa"/>
              <w:bottom w:w="100.0" w:type="dxa"/>
              <w:right w:w="100.0" w:type="dxa"/>
            </w:tcMar>
            <w:vAlign w:val="center"/>
          </w:tcPr>
          <w:p w:rsidR="00000000" w:rsidDel="00000000" w:rsidP="00000000" w:rsidRDefault="00000000" w:rsidRPr="00000000" w14:paraId="0000018D">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18E">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in real-world database)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8F">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Known sensitivity to any component of nab-paclitaxel</w:t>
            </w:r>
          </w:p>
        </w:tc>
        <w:tc>
          <w:tcPr>
            <w:tcMar>
              <w:top w:w="100.0" w:type="dxa"/>
              <w:left w:w="100.0" w:type="dxa"/>
              <w:bottom w:w="100.0" w:type="dxa"/>
              <w:right w:w="100.0" w:type="dxa"/>
            </w:tcMar>
            <w:vAlign w:val="center"/>
          </w:tcPr>
          <w:p w:rsidR="00000000" w:rsidDel="00000000" w:rsidP="00000000" w:rsidRDefault="00000000" w:rsidRPr="00000000" w14:paraId="00000190">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Known sensitivity to any component of </w:t>
            </w:r>
            <w:r w:rsidDel="00000000" w:rsidR="00000000" w:rsidRPr="00000000">
              <w:rPr>
                <w:rFonts w:ascii="Arial" w:cs="Arial" w:eastAsia="Arial" w:hAnsi="Arial"/>
                <w:b w:val="1"/>
                <w:i w:val="1"/>
                <w:sz w:val="20"/>
                <w:szCs w:val="20"/>
                <w:rtl w:val="0"/>
              </w:rPr>
              <w:t xml:space="preserve">paclitaxel</w:t>
            </w:r>
            <w:r w:rsidDel="00000000" w:rsidR="00000000" w:rsidRPr="00000000">
              <w:rPr>
                <w:rFonts w:ascii="Arial" w:cs="Arial" w:eastAsia="Arial" w:hAnsi="Arial"/>
                <w:i w:val="1"/>
                <w:sz w:val="20"/>
                <w:szCs w:val="20"/>
                <w:rtl w:val="0"/>
              </w:rPr>
              <w:t xml:space="preserve"> or nab-paclitaxel</w:t>
            </w:r>
          </w:p>
        </w:tc>
        <w:tc>
          <w:tcPr>
            <w:tcMar>
              <w:top w:w="100.0" w:type="dxa"/>
              <w:left w:w="100.0" w:type="dxa"/>
              <w:bottom w:w="100.0" w:type="dxa"/>
              <w:right w:w="100.0" w:type="dxa"/>
            </w:tcMar>
            <w:vAlign w:val="center"/>
          </w:tcPr>
          <w:p w:rsidR="00000000" w:rsidDel="00000000" w:rsidP="00000000" w:rsidRDefault="00000000" w:rsidRPr="00000000" w14:paraId="00000191">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N/A</w:t>
            </w:r>
          </w:p>
        </w:tc>
        <w:tc>
          <w:tcPr>
            <w:tcMar>
              <w:top w:w="100.0" w:type="dxa"/>
              <w:left w:w="100.0" w:type="dxa"/>
              <w:bottom w:w="100.0" w:type="dxa"/>
              <w:right w:w="100.0" w:type="dxa"/>
            </w:tcMar>
            <w:vAlign w:val="center"/>
          </w:tcPr>
          <w:p w:rsidR="00000000" w:rsidDel="00000000" w:rsidP="00000000" w:rsidRDefault="00000000" w:rsidRPr="00000000" w14:paraId="00000192">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193">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in real-world database)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94">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N/A</w:t>
            </w:r>
          </w:p>
        </w:tc>
        <w:tc>
          <w:tcPr>
            <w:tcMar>
              <w:top w:w="100.0" w:type="dxa"/>
              <w:left w:w="100.0" w:type="dxa"/>
              <w:bottom w:w="100.0" w:type="dxa"/>
              <w:right w:w="100.0" w:type="dxa"/>
            </w:tcMar>
            <w:vAlign w:val="center"/>
          </w:tcPr>
          <w:p w:rsidR="00000000" w:rsidDel="00000000" w:rsidP="00000000" w:rsidRDefault="00000000" w:rsidRPr="00000000" w14:paraId="00000195">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N/A</w:t>
            </w:r>
          </w:p>
        </w:tc>
        <w:tc>
          <w:tcPr>
            <w:tcMar>
              <w:top w:w="100.0" w:type="dxa"/>
              <w:left w:w="100.0" w:type="dxa"/>
              <w:bottom w:w="100.0" w:type="dxa"/>
              <w:right w:w="100.0" w:type="dxa"/>
            </w:tcMar>
            <w:vAlign w:val="center"/>
          </w:tcPr>
          <w:p w:rsidR="00000000" w:rsidDel="00000000" w:rsidP="00000000" w:rsidRDefault="00000000" w:rsidRPr="00000000" w14:paraId="00000196">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Patients with hearing impairment (cisplatin)</w:t>
            </w:r>
          </w:p>
        </w:tc>
        <w:tc>
          <w:tcPr>
            <w:tcMar>
              <w:top w:w="100.0" w:type="dxa"/>
              <w:left w:w="100.0" w:type="dxa"/>
              <w:bottom w:w="100.0" w:type="dxa"/>
              <w:right w:w="100.0" w:type="dxa"/>
            </w:tcMar>
            <w:vAlign w:val="center"/>
          </w:tcPr>
          <w:p w:rsidR="00000000" w:rsidDel="00000000" w:rsidP="00000000" w:rsidRDefault="00000000" w:rsidRPr="00000000" w14:paraId="00000197">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198">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in real-world database)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99">
            <w:pPr>
              <w:widowControl w:val="0"/>
              <w:spacing w:after="0" w:before="0" w:lineRule="auto"/>
              <w:ind w:left="270" w:firstLine="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Grade ≥ 2 peripheral neuropathy as defined by NCI CTCAE v4.0 criteria</w:t>
            </w:r>
            <w:r w:rsidDel="00000000" w:rsidR="00000000" w:rsidRPr="00000000">
              <w:rPr>
                <w:rtl w:val="0"/>
              </w:rPr>
            </w:r>
          </w:p>
        </w:tc>
        <w:tc>
          <w:tcPr>
            <w:tcMar>
              <w:top w:w="100.0" w:type="dxa"/>
              <w:left w:w="100.0" w:type="dxa"/>
              <w:bottom w:w="100.0" w:type="dxa"/>
              <w:right w:w="100.0" w:type="dxa"/>
            </w:tcMar>
            <w:vAlign w:val="center"/>
          </w:tcPr>
          <w:p w:rsidR="00000000" w:rsidDel="00000000" w:rsidP="00000000" w:rsidRDefault="00000000" w:rsidRPr="00000000" w14:paraId="0000019A">
            <w:pPr>
              <w:widowControl w:val="0"/>
              <w:spacing w:after="0" w:before="0" w:lineRule="auto"/>
              <w:ind w:left="270" w:firstLine="0"/>
              <w:rPr>
                <w:rFonts w:ascii="Arial" w:cs="Arial" w:eastAsia="Arial" w:hAnsi="Arial"/>
                <w:i w:val="1"/>
                <w:sz w:val="20"/>
                <w:szCs w:val="20"/>
              </w:rPr>
            </w:pPr>
            <w:r w:rsidDel="00000000" w:rsidR="00000000" w:rsidRPr="00000000">
              <w:rPr>
                <w:rFonts w:ascii="Arial Unicode MS" w:cs="Arial Unicode MS" w:eastAsia="Arial Unicode MS" w:hAnsi="Arial Unicode MS"/>
                <w:i w:val="1"/>
                <w:sz w:val="20"/>
                <w:szCs w:val="20"/>
                <w:rtl w:val="0"/>
              </w:rPr>
              <w:t xml:space="preserve">Grade ≥ 2 peripheral neuropathy as defined by NCI CTCAE v4.0 (</w:t>
            </w:r>
            <w:r w:rsidDel="00000000" w:rsidR="00000000" w:rsidRPr="00000000">
              <w:rPr>
                <w:rFonts w:ascii="Arial" w:cs="Arial" w:eastAsia="Arial" w:hAnsi="Arial"/>
                <w:b w:val="1"/>
                <w:i w:val="1"/>
                <w:sz w:val="20"/>
                <w:szCs w:val="20"/>
                <w:rtl w:val="0"/>
              </w:rPr>
              <w:t xml:space="preserve">paclitaxel and nab-paclitaxel</w:t>
            </w:r>
            <w:r w:rsidDel="00000000" w:rsidR="00000000" w:rsidRPr="00000000">
              <w:rPr>
                <w:rFonts w:ascii="Arial" w:cs="Arial" w:eastAsia="Arial" w:hAnsi="Arial"/>
                <w:i w:val="1"/>
                <w:sz w:val="20"/>
                <w:szCs w:val="20"/>
                <w:rtl w:val="0"/>
              </w:rPr>
              <w:t xml:space="preserve">)</w:t>
            </w:r>
          </w:p>
        </w:tc>
        <w:tc>
          <w:tcPr>
            <w:tcMar>
              <w:top w:w="100.0" w:type="dxa"/>
              <w:left w:w="100.0" w:type="dxa"/>
              <w:bottom w:w="100.0" w:type="dxa"/>
              <w:right w:w="100.0" w:type="dxa"/>
            </w:tcMar>
            <w:vAlign w:val="center"/>
          </w:tcPr>
          <w:p w:rsidR="00000000" w:rsidDel="00000000" w:rsidP="00000000" w:rsidRDefault="00000000" w:rsidRPr="00000000" w14:paraId="0000019B">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Grade  2 peripheral neuropathy as defined by NCI CTCAE v4.0 (</w:t>
            </w:r>
            <w:r w:rsidDel="00000000" w:rsidR="00000000" w:rsidRPr="00000000">
              <w:rPr>
                <w:rFonts w:ascii="Arial" w:cs="Arial" w:eastAsia="Arial" w:hAnsi="Arial"/>
                <w:b w:val="1"/>
                <w:i w:val="1"/>
                <w:sz w:val="20"/>
                <w:szCs w:val="20"/>
                <w:rtl w:val="0"/>
              </w:rPr>
              <w:t xml:space="preserve">cisplatin</w:t>
            </w:r>
            <w:r w:rsidDel="00000000" w:rsidR="00000000" w:rsidRPr="00000000">
              <w:rPr>
                <w:rFonts w:ascii="Arial" w:cs="Arial" w:eastAsia="Arial" w:hAnsi="Arial"/>
                <w:i w:val="1"/>
                <w:sz w:val="20"/>
                <w:szCs w:val="20"/>
                <w:rtl w:val="0"/>
              </w:rPr>
              <w:t xml:space="preserve">)</w:t>
            </w:r>
          </w:p>
        </w:tc>
        <w:tc>
          <w:tcPr>
            <w:tcMar>
              <w:top w:w="100.0" w:type="dxa"/>
              <w:left w:w="100.0" w:type="dxa"/>
              <w:bottom w:w="100.0" w:type="dxa"/>
              <w:right w:w="100.0" w:type="dxa"/>
            </w:tcMar>
            <w:vAlign w:val="center"/>
          </w:tcPr>
          <w:p w:rsidR="00000000" w:rsidDel="00000000" w:rsidP="00000000" w:rsidRDefault="00000000" w:rsidRPr="00000000" w14:paraId="0000019C">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19D">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in real-world database)</w:t>
            </w:r>
          </w:p>
        </w:tc>
      </w:tr>
      <w:tr>
        <w:trPr>
          <w:cantSplit w:val="0"/>
          <w:trHeight w:val="135" w:hRule="atLeast"/>
          <w:tblHeader w:val="0"/>
        </w:trPr>
        <w:tc>
          <w:tcPr>
            <w:tcMar>
              <w:top w:w="100.0" w:type="dxa"/>
              <w:left w:w="100.0" w:type="dxa"/>
              <w:bottom w:w="100.0" w:type="dxa"/>
              <w:right w:w="100.0" w:type="dxa"/>
            </w:tcMar>
            <w:vAlign w:val="center"/>
          </w:tcPr>
          <w:p w:rsidR="00000000" w:rsidDel="00000000" w:rsidP="00000000" w:rsidRDefault="00000000" w:rsidRPr="00000000" w14:paraId="0000019E">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Known history of severe hypersensitivity reactions to products containing Cremophor® EL</w:t>
            </w:r>
          </w:p>
        </w:tc>
        <w:tc>
          <w:tcPr>
            <w:tcMar>
              <w:top w:w="100.0" w:type="dxa"/>
              <w:left w:w="100.0" w:type="dxa"/>
              <w:bottom w:w="100.0" w:type="dxa"/>
              <w:right w:w="100.0" w:type="dxa"/>
            </w:tcMar>
            <w:vAlign w:val="center"/>
          </w:tcPr>
          <w:p w:rsidR="00000000" w:rsidDel="00000000" w:rsidP="00000000" w:rsidRDefault="00000000" w:rsidRPr="00000000" w14:paraId="0000019F">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Known history of severe hypersensitivity reactions to products containing Cremophor® EL</w:t>
            </w:r>
          </w:p>
        </w:tc>
        <w:tc>
          <w:tcPr>
            <w:tcMar>
              <w:top w:w="100.0" w:type="dxa"/>
              <w:left w:w="100.0" w:type="dxa"/>
              <w:bottom w:w="100.0" w:type="dxa"/>
              <w:right w:w="100.0" w:type="dxa"/>
            </w:tcMar>
            <w:vAlign w:val="center"/>
          </w:tcPr>
          <w:p w:rsidR="00000000" w:rsidDel="00000000" w:rsidP="00000000" w:rsidRDefault="00000000" w:rsidRPr="00000000" w14:paraId="000001A0">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N/A</w:t>
            </w:r>
          </w:p>
        </w:tc>
        <w:tc>
          <w:tcPr>
            <w:tcMar>
              <w:top w:w="100.0" w:type="dxa"/>
              <w:left w:w="100.0" w:type="dxa"/>
              <w:bottom w:w="100.0" w:type="dxa"/>
              <w:right w:w="100.0" w:type="dxa"/>
            </w:tcMar>
            <w:vAlign w:val="center"/>
          </w:tcPr>
          <w:p w:rsidR="00000000" w:rsidDel="00000000" w:rsidP="00000000" w:rsidRDefault="00000000" w:rsidRPr="00000000" w14:paraId="000001A1">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implemented </w:t>
            </w:r>
          </w:p>
          <w:p w:rsidR="00000000" w:rsidDel="00000000" w:rsidP="00000000" w:rsidRDefault="00000000" w:rsidRPr="00000000" w14:paraId="000001A2">
            <w:pPr>
              <w:widowControl w:val="0"/>
              <w:spacing w:after="0" w:before="0" w:lineRule="auto"/>
              <w:ind w:left="270"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(Not in real-world database)</w:t>
            </w:r>
          </w:p>
        </w:tc>
      </w:tr>
    </w:tbl>
    <w:p w:rsidR="00000000" w:rsidDel="00000000" w:rsidP="00000000" w:rsidRDefault="00000000" w:rsidRPr="00000000" w14:paraId="000001A3">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Notes: 1L = first-line therapy; ANC = Absolute Neutrophil Count; aPTT = activated partial thromboplastin time; ALT = alanine transaminase; ALK = anaplastic lymphoma kinase; AST = </w:t>
      </w:r>
      <w:r w:rsidDel="00000000" w:rsidR="00000000" w:rsidRPr="00000000">
        <w:rPr>
          <w:rFonts w:ascii="Arial" w:cs="Arial" w:eastAsia="Arial" w:hAnsi="Arial"/>
          <w:color w:val="202124"/>
          <w:sz w:val="20"/>
          <w:szCs w:val="20"/>
          <w:highlight w:val="white"/>
          <w:rtl w:val="0"/>
        </w:rPr>
        <w:t xml:space="preserve">aspartate transaminase; </w:t>
      </w:r>
      <w:r w:rsidDel="00000000" w:rsidR="00000000" w:rsidRPr="00000000">
        <w:rPr>
          <w:rFonts w:ascii="Arial" w:cs="Arial" w:eastAsia="Arial" w:hAnsi="Arial"/>
          <w:sz w:val="20"/>
          <w:szCs w:val="20"/>
          <w:rtl w:val="0"/>
        </w:rPr>
        <w:t xml:space="preserve">CNS - central nervous system; CT = computerized tomography; CrCl = creatinine clearance; DNA = deoxyribonucleic acid; ECOG PS = Eastern Cooperative Group Performance Status; EGFR = epidermal growth factor receptor; HBcAb = hepatitis B core antibody; HBV = hepatitis B virus; HCV = hepatitis C virus; HBcAb = hepatitis B core antibody; HBsAg = hepatitis B surface antigen; HIV = human immunodeficiency virus; IFN = interferon; IL-2 = interleukin 2; INR = International normalized ratio; NA = not available; NSCLC = non-small cell lung cancer; OC = observational comparator; PCR = polymerase chain reaction; PD-1 = programmed cell death protein 1; PD-L1 = programmed death-ligand 1; RECIST = Response Evaluation Criteria in Solid Tumors; RNA = ribonucleic acid; TKI = tyrosine kinase inhibitor; TNF = tumor necrosis factor; Upper Limit of Normal = ULN. </w:t>
      </w:r>
    </w:p>
    <w:p w:rsidR="00000000" w:rsidDel="00000000" w:rsidP="00000000" w:rsidRDefault="00000000" w:rsidRPr="00000000" w14:paraId="000001A4">
      <w:pPr>
        <w:spacing w:after="0" w:before="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1A5">
      <w:pPr>
        <w:spacing w:after="0" w:before="0" w:lineRule="auto"/>
        <w:rPr/>
      </w:pPr>
      <w:r w:rsidDel="00000000" w:rsidR="00000000" w:rsidRPr="00000000">
        <w:rPr>
          <w:b w:val="1"/>
          <w:rtl w:val="0"/>
        </w:rPr>
        <w:t xml:space="preserve">Supplementary Table 3.</w:t>
      </w:r>
      <w:r w:rsidDel="00000000" w:rsidR="00000000" w:rsidRPr="00000000">
        <w:rPr>
          <w:rtl w:val="0"/>
        </w:rPr>
        <w:t xml:space="preserve"> Observational comparator attrition table.</w:t>
      </w:r>
    </w:p>
    <w:p w:rsidR="00000000" w:rsidDel="00000000" w:rsidP="00000000" w:rsidRDefault="00000000" w:rsidRPr="00000000" w14:paraId="000001A6">
      <w:pPr>
        <w:spacing w:after="0" w:before="0" w:lineRule="auto"/>
        <w:rPr/>
      </w:pPr>
      <w:r w:rsidDel="00000000" w:rsidR="00000000" w:rsidRPr="00000000">
        <w:rPr>
          <w:rtl w:val="0"/>
        </w:rPr>
      </w:r>
    </w:p>
    <w:tbl>
      <w:tblPr>
        <w:tblStyle w:val="Table3"/>
        <w:tblW w:w="69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0"/>
        <w:gridCol w:w="1820"/>
        <w:tblGridChange w:id="0">
          <w:tblGrid>
            <w:gridCol w:w="5100"/>
            <w:gridCol w:w="1820"/>
          </w:tblGrid>
        </w:tblGridChange>
      </w:tblGrid>
      <w:tr>
        <w:trPr>
          <w:cantSplit w:val="0"/>
          <w:trHeight w:val="20" w:hRule="atLeast"/>
          <w:tblHeader w:val="0"/>
        </w:trPr>
        <w:tc>
          <w:tcPr>
            <w:shd w:fill="c9daf8" w:val="clear"/>
            <w:tcMar>
              <w:top w:w="100.0" w:type="dxa"/>
              <w:left w:w="100.0" w:type="dxa"/>
              <w:bottom w:w="100.0" w:type="dxa"/>
              <w:right w:w="100.0" w:type="dxa"/>
            </w:tcMar>
          </w:tcPr>
          <w:p w:rsidR="00000000" w:rsidDel="00000000" w:rsidP="00000000" w:rsidRDefault="00000000" w:rsidRPr="00000000" w14:paraId="000001A7">
            <w:pPr>
              <w:widowControl w:val="0"/>
              <w:spacing w:after="0" w:before="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Criteria</w:t>
            </w:r>
            <w:r w:rsidDel="00000000" w:rsidR="00000000" w:rsidRPr="00000000">
              <w:rPr>
                <w:rtl w:val="0"/>
              </w:rPr>
            </w:r>
          </w:p>
        </w:tc>
        <w:tc>
          <w:tcPr>
            <w:shd w:fill="c9daf8" w:val="clear"/>
            <w:tcMar>
              <w:top w:w="100.0" w:type="dxa"/>
              <w:left w:w="100.0" w:type="dxa"/>
              <w:bottom w:w="100.0" w:type="dxa"/>
              <w:right w:w="100.0" w:type="dxa"/>
            </w:tcMar>
          </w:tcPr>
          <w:p w:rsidR="00000000" w:rsidDel="00000000" w:rsidP="00000000" w:rsidRDefault="00000000" w:rsidRPr="00000000" w14:paraId="000001A8">
            <w:pPr>
              <w:widowControl w:val="0"/>
              <w:spacing w:after="0" w:before="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Number of patients</w:t>
            </w:r>
            <w:r w:rsidDel="00000000" w:rsidR="00000000" w:rsidRPr="00000000">
              <w:rPr>
                <w:rtl w:val="0"/>
              </w:rPr>
            </w:r>
          </w:p>
        </w:tc>
      </w:tr>
      <w:tr>
        <w:trPr>
          <w:cantSplit w:val="0"/>
          <w:trHeight w:val="20" w:hRule="atLeast"/>
          <w:tblHeader w:val="0"/>
        </w:trPr>
        <w:tc>
          <w:tcPr>
            <w:tcMar>
              <w:top w:w="100.0" w:type="dxa"/>
              <w:left w:w="100.0" w:type="dxa"/>
              <w:bottom w:w="100.0" w:type="dxa"/>
              <w:right w:w="100.0" w:type="dxa"/>
            </w:tcMar>
          </w:tcPr>
          <w:p w:rsidR="00000000" w:rsidDel="00000000" w:rsidP="00000000" w:rsidRDefault="00000000" w:rsidRPr="00000000" w14:paraId="000001A9">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Total patients in the cohort (Dec 2020)</w:t>
            </w:r>
          </w:p>
        </w:tc>
        <w:tc>
          <w:tcPr>
            <w:tcMar>
              <w:top w:w="100.0" w:type="dxa"/>
              <w:left w:w="100.0" w:type="dxa"/>
              <w:bottom w:w="100.0" w:type="dxa"/>
              <w:right w:w="100.0" w:type="dxa"/>
            </w:tcMar>
          </w:tcPr>
          <w:p w:rsidR="00000000" w:rsidDel="00000000" w:rsidP="00000000" w:rsidRDefault="00000000" w:rsidRPr="00000000" w14:paraId="000001AA">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66520</w:t>
            </w:r>
          </w:p>
        </w:tc>
      </w:tr>
      <w:tr>
        <w:trPr>
          <w:cantSplit w:val="0"/>
          <w:trHeight w:val="20" w:hRule="atLeast"/>
          <w:tblHeader w:val="0"/>
        </w:trPr>
        <w:tc>
          <w:tcPr>
            <w:tcMar>
              <w:top w:w="100.0" w:type="dxa"/>
              <w:left w:w="100.0" w:type="dxa"/>
              <w:bottom w:w="100.0" w:type="dxa"/>
              <w:right w:w="100.0" w:type="dxa"/>
            </w:tcMar>
          </w:tcPr>
          <w:p w:rsidR="00000000" w:rsidDel="00000000" w:rsidP="00000000" w:rsidRDefault="00000000" w:rsidRPr="00000000" w14:paraId="000001AB">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Line start date is between ‘2015-04-16’ and ‘2017-05-31’</w:t>
            </w:r>
          </w:p>
        </w:tc>
        <w:tc>
          <w:tcPr>
            <w:tcMar>
              <w:top w:w="100.0" w:type="dxa"/>
              <w:left w:w="100.0" w:type="dxa"/>
              <w:bottom w:w="100.0" w:type="dxa"/>
              <w:right w:w="100.0" w:type="dxa"/>
            </w:tcMar>
          </w:tcPr>
          <w:p w:rsidR="00000000" w:rsidDel="00000000" w:rsidP="00000000" w:rsidRDefault="00000000" w:rsidRPr="00000000" w14:paraId="000001AC">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15009</w:t>
            </w:r>
          </w:p>
        </w:tc>
      </w:tr>
      <w:tr>
        <w:trPr>
          <w:cantSplit w:val="0"/>
          <w:trHeight w:val="20" w:hRule="atLeast"/>
          <w:tblHeader w:val="0"/>
        </w:trPr>
        <w:tc>
          <w:tcPr>
            <w:tcMar>
              <w:top w:w="100.0" w:type="dxa"/>
              <w:left w:w="100.0" w:type="dxa"/>
              <w:bottom w:w="100.0" w:type="dxa"/>
              <w:right w:w="100.0" w:type="dxa"/>
            </w:tcMar>
          </w:tcPr>
          <w:p w:rsidR="00000000" w:rsidDel="00000000" w:rsidP="00000000" w:rsidRDefault="00000000" w:rsidRPr="00000000" w14:paraId="000001AD">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1L after advanced diagnosis</w:t>
            </w:r>
          </w:p>
        </w:tc>
        <w:tc>
          <w:tcPr>
            <w:tcMar>
              <w:top w:w="100.0" w:type="dxa"/>
              <w:left w:w="100.0" w:type="dxa"/>
              <w:bottom w:w="100.0" w:type="dxa"/>
              <w:right w:w="100.0" w:type="dxa"/>
            </w:tcMar>
          </w:tcPr>
          <w:p w:rsidR="00000000" w:rsidDel="00000000" w:rsidP="00000000" w:rsidRDefault="00000000" w:rsidRPr="00000000" w14:paraId="000001AE">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12310</w:t>
            </w:r>
          </w:p>
        </w:tc>
      </w:tr>
      <w:tr>
        <w:trPr>
          <w:cantSplit w:val="0"/>
          <w:trHeight w:val="20" w:hRule="atLeast"/>
          <w:tblHeader w:val="0"/>
        </w:trPr>
        <w:tc>
          <w:tcPr>
            <w:tcMar>
              <w:top w:w="100.0" w:type="dxa"/>
              <w:left w:w="100.0" w:type="dxa"/>
              <w:bottom w:w="100.0" w:type="dxa"/>
              <w:right w:w="100.0" w:type="dxa"/>
            </w:tcMar>
          </w:tcPr>
          <w:p w:rsidR="00000000" w:rsidDel="00000000" w:rsidP="00000000" w:rsidRDefault="00000000" w:rsidRPr="00000000" w14:paraId="000001AF">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Patients with multiple primary tumors excluded</w:t>
            </w:r>
          </w:p>
        </w:tc>
        <w:tc>
          <w:tcPr>
            <w:tcMar>
              <w:top w:w="100.0" w:type="dxa"/>
              <w:left w:w="100.0" w:type="dxa"/>
              <w:bottom w:w="100.0" w:type="dxa"/>
              <w:right w:w="100.0" w:type="dxa"/>
            </w:tcMar>
          </w:tcPr>
          <w:p w:rsidR="00000000" w:rsidDel="00000000" w:rsidP="00000000" w:rsidRDefault="00000000" w:rsidRPr="00000000" w14:paraId="000001B0">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12190</w:t>
            </w:r>
          </w:p>
        </w:tc>
      </w:tr>
      <w:tr>
        <w:trPr>
          <w:cantSplit w:val="0"/>
          <w:trHeight w:val="20" w:hRule="atLeast"/>
          <w:tblHeader w:val="0"/>
        </w:trPr>
        <w:tc>
          <w:tcPr>
            <w:tcMar>
              <w:top w:w="100.0" w:type="dxa"/>
              <w:left w:w="100.0" w:type="dxa"/>
              <w:bottom w:w="100.0" w:type="dxa"/>
              <w:right w:w="100.0" w:type="dxa"/>
            </w:tcMar>
          </w:tcPr>
          <w:p w:rsidR="00000000" w:rsidDel="00000000" w:rsidP="00000000" w:rsidRDefault="00000000" w:rsidRPr="00000000" w14:paraId="000001B1">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Age &gt;= 18 years-old</w:t>
            </w:r>
          </w:p>
        </w:tc>
        <w:tc>
          <w:tcPr>
            <w:tcMar>
              <w:top w:w="100.0" w:type="dxa"/>
              <w:left w:w="100.0" w:type="dxa"/>
              <w:bottom w:w="100.0" w:type="dxa"/>
              <w:right w:w="100.0" w:type="dxa"/>
            </w:tcMar>
          </w:tcPr>
          <w:p w:rsidR="00000000" w:rsidDel="00000000" w:rsidP="00000000" w:rsidRDefault="00000000" w:rsidRPr="00000000" w14:paraId="000001B2">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12190</w:t>
            </w:r>
          </w:p>
        </w:tc>
      </w:tr>
      <w:tr>
        <w:trPr>
          <w:cantSplit w:val="0"/>
          <w:trHeight w:val="20" w:hRule="atLeast"/>
          <w:tblHeader w:val="0"/>
        </w:trPr>
        <w:tc>
          <w:tcPr>
            <w:tcMar>
              <w:top w:w="100.0" w:type="dxa"/>
              <w:left w:w="100.0" w:type="dxa"/>
              <w:bottom w:w="100.0" w:type="dxa"/>
              <w:right w:w="100.0" w:type="dxa"/>
            </w:tcMar>
          </w:tcPr>
          <w:p w:rsidR="00000000" w:rsidDel="00000000" w:rsidP="00000000" w:rsidRDefault="00000000" w:rsidRPr="00000000" w14:paraId="000001B3">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ECOG PS 0, 1, or missing at baseline </w:t>
            </w:r>
            <w:r w:rsidDel="00000000" w:rsidR="00000000" w:rsidRPr="00000000">
              <w:rPr>
                <w:rFonts w:ascii="Arial" w:cs="Arial" w:eastAsia="Arial" w:hAnsi="Arial"/>
                <w:sz w:val="20"/>
                <w:szCs w:val="20"/>
                <w:vertAlign w:val="superscript"/>
                <w:rtl w:val="0"/>
              </w:rPr>
              <w:t xml:space="preserve">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B4">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10532</w:t>
            </w:r>
          </w:p>
        </w:tc>
      </w:tr>
      <w:tr>
        <w:trPr>
          <w:cantSplit w:val="0"/>
          <w:trHeight w:val="409" w:hRule="atLeast"/>
          <w:tblHeader w:val="0"/>
        </w:trPr>
        <w:tc>
          <w:tcPr>
            <w:tcMar>
              <w:top w:w="100.0" w:type="dxa"/>
              <w:left w:w="100.0" w:type="dxa"/>
              <w:bottom w:w="100.0" w:type="dxa"/>
              <w:right w:w="100.0" w:type="dxa"/>
            </w:tcMar>
          </w:tcPr>
          <w:p w:rsidR="00000000" w:rsidDel="00000000" w:rsidP="00000000" w:rsidRDefault="00000000" w:rsidRPr="00000000" w14:paraId="000001B5">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Histology known</w:t>
            </w:r>
          </w:p>
        </w:tc>
        <w:tc>
          <w:tcPr>
            <w:tcMar>
              <w:top w:w="100.0" w:type="dxa"/>
              <w:left w:w="100.0" w:type="dxa"/>
              <w:bottom w:w="100.0" w:type="dxa"/>
              <w:right w:w="100.0" w:type="dxa"/>
            </w:tcMar>
          </w:tcPr>
          <w:p w:rsidR="00000000" w:rsidDel="00000000" w:rsidP="00000000" w:rsidRDefault="00000000" w:rsidRPr="00000000" w14:paraId="000001B6">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10052</w:t>
            </w:r>
          </w:p>
        </w:tc>
      </w:tr>
      <w:tr>
        <w:trPr>
          <w:cantSplit w:val="0"/>
          <w:trHeight w:val="20" w:hRule="atLeast"/>
          <w:tblHeader w:val="0"/>
        </w:trPr>
        <w:tc>
          <w:tcPr>
            <w:tcMar>
              <w:top w:w="100.0" w:type="dxa"/>
              <w:left w:w="100.0" w:type="dxa"/>
              <w:bottom w:w="100.0" w:type="dxa"/>
              <w:right w:w="100.0" w:type="dxa"/>
            </w:tcMar>
          </w:tcPr>
          <w:p w:rsidR="00000000" w:rsidDel="00000000" w:rsidP="00000000" w:rsidRDefault="00000000" w:rsidRPr="00000000" w14:paraId="000001B7">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With structured activities within 90 days of advanced diagnosis</w:t>
            </w:r>
          </w:p>
        </w:tc>
        <w:tc>
          <w:tcPr>
            <w:tcMar>
              <w:top w:w="100.0" w:type="dxa"/>
              <w:left w:w="100.0" w:type="dxa"/>
              <w:bottom w:w="100.0" w:type="dxa"/>
              <w:right w:w="100.0" w:type="dxa"/>
            </w:tcMar>
          </w:tcPr>
          <w:p w:rsidR="00000000" w:rsidDel="00000000" w:rsidP="00000000" w:rsidRDefault="00000000" w:rsidRPr="00000000" w14:paraId="000001B8">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9255</w:t>
            </w:r>
          </w:p>
        </w:tc>
      </w:tr>
      <w:tr>
        <w:trPr>
          <w:cantSplit w:val="0"/>
          <w:trHeight w:val="20" w:hRule="atLeast"/>
          <w:tblHeader w:val="0"/>
        </w:trPr>
        <w:tc>
          <w:tcPr>
            <w:tcMar>
              <w:top w:w="100.0" w:type="dxa"/>
              <w:left w:w="100.0" w:type="dxa"/>
              <w:bottom w:w="100.0" w:type="dxa"/>
              <w:right w:w="100.0" w:type="dxa"/>
            </w:tcMar>
          </w:tcPr>
          <w:p w:rsidR="00000000" w:rsidDel="00000000" w:rsidP="00000000" w:rsidRDefault="00000000" w:rsidRPr="00000000" w14:paraId="000001B9">
            <w:pPr>
              <w:widowControl w:val="0"/>
              <w:spacing w:after="0" w:before="0" w:lineRule="auto"/>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Without abnormal labs or missing within a -30 to +7 window around 1L start date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1BA">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8412</w:t>
            </w:r>
          </w:p>
        </w:tc>
      </w:tr>
      <w:tr>
        <w:trPr>
          <w:cantSplit w:val="0"/>
          <w:trHeight w:val="20" w:hRule="atLeast"/>
          <w:tblHeader w:val="0"/>
        </w:trPr>
        <w:tc>
          <w:tcPr>
            <w:tcMar>
              <w:top w:w="100.0" w:type="dxa"/>
              <w:left w:w="100.0" w:type="dxa"/>
              <w:bottom w:w="100.0" w:type="dxa"/>
              <w:right w:w="100.0" w:type="dxa"/>
            </w:tcMar>
          </w:tcPr>
          <w:p w:rsidR="00000000" w:rsidDel="00000000" w:rsidP="00000000" w:rsidRDefault="00000000" w:rsidRPr="00000000" w14:paraId="000001BB">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Without EGFR mutation or missing at any time up to 7 days after 1L start</w:t>
            </w:r>
          </w:p>
        </w:tc>
        <w:tc>
          <w:tcPr>
            <w:tcMar>
              <w:top w:w="100.0" w:type="dxa"/>
              <w:left w:w="100.0" w:type="dxa"/>
              <w:bottom w:w="100.0" w:type="dxa"/>
              <w:right w:w="100.0" w:type="dxa"/>
            </w:tcMar>
          </w:tcPr>
          <w:p w:rsidR="00000000" w:rsidDel="00000000" w:rsidP="00000000" w:rsidRDefault="00000000" w:rsidRPr="00000000" w14:paraId="000001BC">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7493</w:t>
            </w:r>
          </w:p>
        </w:tc>
      </w:tr>
      <w:tr>
        <w:trPr>
          <w:cantSplit w:val="0"/>
          <w:trHeight w:val="20" w:hRule="atLeast"/>
          <w:tblHeader w:val="0"/>
        </w:trPr>
        <w:tc>
          <w:tcPr>
            <w:tcMar>
              <w:top w:w="100.0" w:type="dxa"/>
              <w:left w:w="100.0" w:type="dxa"/>
              <w:bottom w:w="100.0" w:type="dxa"/>
              <w:right w:w="100.0" w:type="dxa"/>
            </w:tcMar>
          </w:tcPr>
          <w:p w:rsidR="00000000" w:rsidDel="00000000" w:rsidP="00000000" w:rsidRDefault="00000000" w:rsidRPr="00000000" w14:paraId="000001BD">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Without ALK mut or missing at any time up to 7 days after 1L start</w:t>
            </w:r>
          </w:p>
        </w:tc>
        <w:tc>
          <w:tcPr>
            <w:tcMar>
              <w:top w:w="100.0" w:type="dxa"/>
              <w:left w:w="100.0" w:type="dxa"/>
              <w:bottom w:w="100.0" w:type="dxa"/>
              <w:right w:w="100.0" w:type="dxa"/>
            </w:tcMar>
          </w:tcPr>
          <w:p w:rsidR="00000000" w:rsidDel="00000000" w:rsidP="00000000" w:rsidRDefault="00000000" w:rsidRPr="00000000" w14:paraId="000001BE">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7313</w:t>
            </w:r>
          </w:p>
        </w:tc>
      </w:tr>
      <w:tr>
        <w:trPr>
          <w:cantSplit w:val="0"/>
          <w:trHeight w:val="20" w:hRule="atLeast"/>
          <w:tblHeader w:val="0"/>
        </w:trPr>
        <w:tc>
          <w:tcPr>
            <w:tcMar>
              <w:top w:w="100.0" w:type="dxa"/>
              <w:left w:w="100.0" w:type="dxa"/>
              <w:bottom w:w="100.0" w:type="dxa"/>
              <w:right w:w="100.0" w:type="dxa"/>
            </w:tcMar>
          </w:tcPr>
          <w:p w:rsidR="00000000" w:rsidDel="00000000" w:rsidP="00000000" w:rsidRDefault="00000000" w:rsidRPr="00000000" w14:paraId="000001BF">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 exposure to chemotherapy within prior six months</w:t>
            </w:r>
          </w:p>
        </w:tc>
        <w:tc>
          <w:tcPr>
            <w:tcMar>
              <w:top w:w="100.0" w:type="dxa"/>
              <w:left w:w="100.0" w:type="dxa"/>
              <w:bottom w:w="100.0" w:type="dxa"/>
              <w:right w:w="100.0" w:type="dxa"/>
            </w:tcMar>
          </w:tcPr>
          <w:p w:rsidR="00000000" w:rsidDel="00000000" w:rsidP="00000000" w:rsidRDefault="00000000" w:rsidRPr="00000000" w14:paraId="000001C0">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7004</w:t>
            </w:r>
          </w:p>
        </w:tc>
      </w:tr>
      <w:tr>
        <w:trPr>
          <w:cantSplit w:val="0"/>
          <w:trHeight w:val="20" w:hRule="atLeast"/>
          <w:tblHeader w:val="0"/>
        </w:trPr>
        <w:tc>
          <w:tcPr>
            <w:tcMar>
              <w:top w:w="100.0" w:type="dxa"/>
              <w:left w:w="100.0" w:type="dxa"/>
              <w:bottom w:w="100.0" w:type="dxa"/>
              <w:right w:w="100.0" w:type="dxa"/>
            </w:tcMar>
          </w:tcPr>
          <w:p w:rsidR="00000000" w:rsidDel="00000000" w:rsidP="00000000" w:rsidRDefault="00000000" w:rsidRPr="00000000" w14:paraId="000001C1">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 exposure to prior CIT</w:t>
            </w:r>
          </w:p>
        </w:tc>
        <w:tc>
          <w:tcPr>
            <w:tcMar>
              <w:top w:w="100.0" w:type="dxa"/>
              <w:left w:w="100.0" w:type="dxa"/>
              <w:bottom w:w="100.0" w:type="dxa"/>
              <w:right w:w="100.0" w:type="dxa"/>
            </w:tcMar>
          </w:tcPr>
          <w:p w:rsidR="00000000" w:rsidDel="00000000" w:rsidP="00000000" w:rsidRDefault="00000000" w:rsidRPr="00000000" w14:paraId="000001C2">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6984</w:t>
            </w:r>
          </w:p>
        </w:tc>
      </w:tr>
      <w:tr>
        <w:trPr>
          <w:cantSplit w:val="0"/>
          <w:trHeight w:val="20" w:hRule="atLeast"/>
          <w:tblHeader w:val="0"/>
        </w:trPr>
        <w:tc>
          <w:tcPr>
            <w:tcMar>
              <w:top w:w="100.0" w:type="dxa"/>
              <w:left w:w="100.0" w:type="dxa"/>
              <w:bottom w:w="100.0" w:type="dxa"/>
              <w:right w:w="100.0" w:type="dxa"/>
            </w:tcMar>
          </w:tcPr>
          <w:p w:rsidR="00000000" w:rsidDel="00000000" w:rsidP="00000000" w:rsidRDefault="00000000" w:rsidRPr="00000000" w14:paraId="000001C3">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With the regimens of interest in 1L</w:t>
            </w:r>
          </w:p>
        </w:tc>
        <w:tc>
          <w:tcPr>
            <w:tcMar>
              <w:top w:w="100.0" w:type="dxa"/>
              <w:left w:w="100.0" w:type="dxa"/>
              <w:bottom w:w="100.0" w:type="dxa"/>
              <w:right w:w="100.0" w:type="dxa"/>
            </w:tcMar>
          </w:tcPr>
          <w:p w:rsidR="00000000" w:rsidDel="00000000" w:rsidP="00000000" w:rsidRDefault="00000000" w:rsidRPr="00000000" w14:paraId="000001C4">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3340</w:t>
            </w:r>
          </w:p>
        </w:tc>
      </w:tr>
    </w:tbl>
    <w:p w:rsidR="00000000" w:rsidDel="00000000" w:rsidP="00000000" w:rsidRDefault="00000000" w:rsidRPr="00000000" w14:paraId="000001C5">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Notes: 1L = first-line therapy; ALK = anaplastic lymphoma kinase; CIT = cancer immunotherapy; ECOG PS = Eastern Cooperative Group Performance Status; EGFR = epidermal growth factor receptor; </w:t>
      </w:r>
    </w:p>
    <w:p w:rsidR="00000000" w:rsidDel="00000000" w:rsidP="00000000" w:rsidRDefault="00000000" w:rsidRPr="00000000" w14:paraId="000001C6">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vertAlign w:val="superscript"/>
          <w:rtl w:val="0"/>
        </w:rPr>
        <w:t xml:space="preserve">a</w:t>
      </w:r>
      <w:r w:rsidDel="00000000" w:rsidR="00000000" w:rsidRPr="00000000">
        <w:rPr>
          <w:rFonts w:ascii="Arial" w:cs="Arial" w:eastAsia="Arial" w:hAnsi="Arial"/>
          <w:sz w:val="20"/>
          <w:szCs w:val="20"/>
          <w:rtl w:val="0"/>
        </w:rPr>
        <w:t xml:space="preserve"> The closest ECOG value within a -30 to +7 window around 1L start date was used, taking the highest if multiple observations occurred on the same day</w:t>
      </w:r>
    </w:p>
    <w:p w:rsidR="00000000" w:rsidDel="00000000" w:rsidP="00000000" w:rsidRDefault="00000000" w:rsidRPr="00000000" w14:paraId="000001C7">
      <w:pPr>
        <w:widowControl w:val="0"/>
        <w:spacing w:after="0" w:before="0" w:lineRule="auto"/>
        <w:rPr>
          <w:rFonts w:ascii="Arial" w:cs="Arial" w:eastAsia="Arial" w:hAnsi="Arial"/>
        </w:rPr>
      </w:pPr>
      <w:r w:rsidDel="00000000" w:rsidR="00000000" w:rsidRPr="00000000">
        <w:rPr>
          <w:rtl w:val="0"/>
        </w:rPr>
      </w:r>
    </w:p>
    <w:p w:rsidR="00000000" w:rsidDel="00000000" w:rsidP="00000000" w:rsidRDefault="00000000" w:rsidRPr="00000000" w14:paraId="000001C8">
      <w:pPr>
        <w:widowControl w:val="0"/>
        <w:spacing w:after="0" w:before="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1C9">
      <w:pPr>
        <w:widowControl w:val="0"/>
        <w:spacing w:after="0" w:before="0" w:lineRule="auto"/>
        <w:rPr/>
      </w:pPr>
      <w:r w:rsidDel="00000000" w:rsidR="00000000" w:rsidRPr="00000000">
        <w:rPr>
          <w:b w:val="1"/>
          <w:rtl w:val="0"/>
        </w:rPr>
        <w:t xml:space="preserve">Supplementary Table 4.</w:t>
      </w:r>
      <w:r w:rsidDel="00000000" w:rsidR="00000000" w:rsidRPr="00000000">
        <w:rPr>
          <w:rtl w:val="0"/>
        </w:rPr>
        <w:t xml:space="preserve"> Baseline characteristics by trial.</w:t>
      </w:r>
    </w:p>
    <w:p w:rsidR="00000000" w:rsidDel="00000000" w:rsidP="00000000" w:rsidRDefault="00000000" w:rsidRPr="00000000" w14:paraId="000001CA">
      <w:pPr>
        <w:widowControl w:val="0"/>
        <w:spacing w:after="0" w:before="0" w:lineRule="auto"/>
        <w:rPr/>
      </w:pPr>
      <w:r w:rsidDel="00000000" w:rsidR="00000000" w:rsidRPr="00000000">
        <w:rPr>
          <w:rtl w:val="0"/>
        </w:rPr>
      </w:r>
    </w:p>
    <w:tbl>
      <w:tblPr>
        <w:tblStyle w:val="Table4"/>
        <w:tblW w:w="87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20"/>
        <w:gridCol w:w="1320"/>
        <w:gridCol w:w="1100"/>
        <w:gridCol w:w="1100"/>
        <w:gridCol w:w="1100"/>
        <w:gridCol w:w="1100"/>
        <w:gridCol w:w="1140"/>
        <w:tblGridChange w:id="0">
          <w:tblGrid>
            <w:gridCol w:w="1920"/>
            <w:gridCol w:w="1320"/>
            <w:gridCol w:w="1100"/>
            <w:gridCol w:w="1100"/>
            <w:gridCol w:w="1100"/>
            <w:gridCol w:w="1100"/>
            <w:gridCol w:w="1140"/>
          </w:tblGrid>
        </w:tblGridChange>
      </w:tblGrid>
      <w:tr>
        <w:trPr>
          <w:cantSplit w:val="0"/>
          <w:trHeight w:val="755" w:hRule="atLeast"/>
          <w:tblHeader w:val="0"/>
        </w:trPr>
        <w:tc>
          <w:tcPr>
            <w:vMerge w:val="restart"/>
            <w:tcBorders>
              <w:top w:color="000000" w:space="0" w:sz="4" w:val="single"/>
              <w:left w:color="000000" w:space="0" w:sz="4" w:val="single"/>
              <w:bottom w:color="000000" w:space="0" w:sz="4" w:val="single"/>
              <w:right w:color="000000" w:space="0" w:sz="4" w:val="single"/>
            </w:tcBorders>
            <w:shd w:fill="c9daf8" w:val="clear"/>
            <w:tcMar>
              <w:top w:w="100.0" w:type="dxa"/>
              <w:left w:w="100.0" w:type="dxa"/>
              <w:bottom w:w="100.0" w:type="dxa"/>
              <w:right w:w="100.0" w:type="dxa"/>
            </w:tcMar>
          </w:tcPr>
          <w:p w:rsidR="00000000" w:rsidDel="00000000" w:rsidP="00000000" w:rsidRDefault="00000000" w:rsidRPr="00000000" w14:paraId="000001CB">
            <w:pPr>
              <w:spacing w:after="0" w:before="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Variable</w:t>
            </w:r>
          </w:p>
        </w:tc>
        <w:tc>
          <w:tcPr>
            <w:vMerge w:val="restart"/>
            <w:tcBorders>
              <w:top w:color="000000" w:space="0" w:sz="4" w:val="single"/>
              <w:left w:color="000000" w:space="0" w:sz="4" w:val="single"/>
              <w:bottom w:color="000000" w:space="0" w:sz="4" w:val="single"/>
              <w:right w:color="000000" w:space="0" w:sz="4" w:val="single"/>
            </w:tcBorders>
            <w:shd w:fill="c9daf8" w:val="clear"/>
            <w:tcMar>
              <w:top w:w="100.0" w:type="dxa"/>
              <w:left w:w="100.0" w:type="dxa"/>
              <w:bottom w:w="100.0" w:type="dxa"/>
              <w:right w:w="100.0" w:type="dxa"/>
            </w:tcMar>
          </w:tcPr>
          <w:p w:rsidR="00000000" w:rsidDel="00000000" w:rsidP="00000000" w:rsidRDefault="00000000" w:rsidRPr="00000000" w14:paraId="000001CC">
            <w:pPr>
              <w:spacing w:after="0" w:before="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Categories</w:t>
            </w:r>
          </w:p>
        </w:tc>
        <w:tc>
          <w:tcPr>
            <w:gridSpan w:val="4"/>
            <w:tcBorders>
              <w:top w:color="000000" w:space="0" w:sz="4" w:val="single"/>
              <w:left w:color="000000" w:space="0" w:sz="4" w:val="single"/>
              <w:bottom w:color="000000" w:space="0" w:sz="4" w:val="single"/>
              <w:right w:color="000000" w:space="0" w:sz="4" w:val="single"/>
            </w:tcBorders>
            <w:shd w:fill="c9daf8" w:val="clear"/>
            <w:tcMar>
              <w:top w:w="100.0" w:type="dxa"/>
              <w:left w:w="100.0" w:type="dxa"/>
              <w:bottom w:w="100.0" w:type="dxa"/>
              <w:right w:w="100.0" w:type="dxa"/>
            </w:tcMar>
          </w:tcPr>
          <w:p w:rsidR="00000000" w:rsidDel="00000000" w:rsidP="00000000" w:rsidRDefault="00000000" w:rsidRPr="00000000" w14:paraId="000001CD">
            <w:pPr>
              <w:spacing w:after="0" w:before="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RCT</w:t>
            </w:r>
          </w:p>
        </w:tc>
        <w:tc>
          <w:tcPr>
            <w:vMerge w:val="restart"/>
            <w:tcBorders>
              <w:top w:color="000000" w:space="0" w:sz="4" w:val="single"/>
              <w:left w:color="000000" w:space="0" w:sz="4" w:val="single"/>
              <w:bottom w:color="000000" w:space="0" w:sz="4" w:val="single"/>
              <w:right w:color="000000" w:space="0" w:sz="4" w:val="single"/>
            </w:tcBorders>
            <w:shd w:fill="c9daf8" w:val="clear"/>
            <w:tcMar>
              <w:top w:w="100.0" w:type="dxa"/>
              <w:left w:w="100.0" w:type="dxa"/>
              <w:bottom w:w="100.0" w:type="dxa"/>
              <w:right w:w="100.0" w:type="dxa"/>
            </w:tcMar>
          </w:tcPr>
          <w:p w:rsidR="00000000" w:rsidDel="00000000" w:rsidP="00000000" w:rsidRDefault="00000000" w:rsidRPr="00000000" w14:paraId="000001D1">
            <w:pPr>
              <w:spacing w:after="0" w:before="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OC N=3340</w:t>
            </w:r>
          </w:p>
        </w:tc>
      </w:tr>
      <w:tr>
        <w:trPr>
          <w:cantSplit w:val="0"/>
          <w:trHeight w:val="755" w:hRule="atLeast"/>
          <w:tblHeader w:val="0"/>
        </w:trPr>
        <w:tc>
          <w:tcPr>
            <w:vMerge w:val="continue"/>
            <w:tcBorders>
              <w:top w:color="000000" w:space="0" w:sz="4" w:val="single"/>
              <w:left w:color="000000" w:space="0" w:sz="4" w:val="single"/>
              <w:bottom w:color="000000" w:space="0" w:sz="4" w:val="single"/>
              <w:right w:color="000000" w:space="0" w:sz="4" w:val="single"/>
            </w:tcBorders>
            <w:shd w:fill="c9daf8" w:val="clear"/>
            <w:tcMar>
              <w:top w:w="100.0" w:type="dxa"/>
              <w:left w:w="100.0" w:type="dxa"/>
              <w:bottom w:w="100.0" w:type="dxa"/>
              <w:right w:w="100.0" w:type="dxa"/>
            </w:tcMa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c9daf8" w:val="clear"/>
            <w:tcMar>
              <w:top w:w="100.0" w:type="dxa"/>
              <w:left w:w="100.0" w:type="dxa"/>
              <w:bottom w:w="100.0" w:type="dxa"/>
              <w:right w:w="100.0" w:type="dxa"/>
            </w:tcMar>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9daf8" w:val="clear"/>
            <w:tcMar>
              <w:top w:w="100.0" w:type="dxa"/>
              <w:left w:w="100.0" w:type="dxa"/>
              <w:bottom w:w="100.0" w:type="dxa"/>
              <w:right w:w="100.0" w:type="dxa"/>
            </w:tcMar>
          </w:tcPr>
          <w:p w:rsidR="00000000" w:rsidDel="00000000" w:rsidP="00000000" w:rsidRDefault="00000000" w:rsidRPr="00000000" w14:paraId="000001D4">
            <w:pPr>
              <w:spacing w:after="0" w:before="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w:t>
            </w:r>
          </w:p>
          <w:p w:rsidR="00000000" w:rsidDel="00000000" w:rsidP="00000000" w:rsidRDefault="00000000" w:rsidRPr="00000000" w14:paraId="000001D5">
            <w:pPr>
              <w:spacing w:after="0" w:before="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N=849</w:t>
            </w:r>
          </w:p>
        </w:tc>
        <w:tc>
          <w:tcPr>
            <w:tcBorders>
              <w:top w:color="000000" w:space="0" w:sz="4" w:val="single"/>
              <w:left w:color="000000" w:space="0" w:sz="4" w:val="single"/>
              <w:bottom w:color="000000" w:space="0" w:sz="4" w:val="single"/>
              <w:right w:color="000000" w:space="0" w:sz="4" w:val="single"/>
            </w:tcBorders>
            <w:shd w:fill="c9daf8" w:val="clear"/>
            <w:tcMar>
              <w:top w:w="100.0" w:type="dxa"/>
              <w:left w:w="100.0" w:type="dxa"/>
              <w:bottom w:w="100.0" w:type="dxa"/>
              <w:right w:w="100.0" w:type="dxa"/>
            </w:tcMar>
          </w:tcPr>
          <w:p w:rsidR="00000000" w:rsidDel="00000000" w:rsidP="00000000" w:rsidRDefault="00000000" w:rsidRPr="00000000" w14:paraId="000001D6">
            <w:pPr>
              <w:spacing w:after="0" w:before="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IMpower 130</w:t>
            </w:r>
          </w:p>
          <w:p w:rsidR="00000000" w:rsidDel="00000000" w:rsidP="00000000" w:rsidRDefault="00000000" w:rsidRPr="00000000" w14:paraId="000001D7">
            <w:pPr>
              <w:spacing w:after="0" w:before="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N=228</w:t>
            </w:r>
          </w:p>
        </w:tc>
        <w:tc>
          <w:tcPr>
            <w:tcBorders>
              <w:top w:color="000000" w:space="0" w:sz="4" w:val="single"/>
              <w:left w:color="000000" w:space="0" w:sz="4" w:val="single"/>
              <w:bottom w:color="000000" w:space="0" w:sz="4" w:val="single"/>
              <w:right w:color="000000" w:space="0" w:sz="4" w:val="single"/>
            </w:tcBorders>
            <w:shd w:fill="c9daf8" w:val="clear"/>
            <w:tcMar>
              <w:top w:w="100.0" w:type="dxa"/>
              <w:left w:w="100.0" w:type="dxa"/>
              <w:bottom w:w="100.0" w:type="dxa"/>
              <w:right w:w="100.0" w:type="dxa"/>
            </w:tcMar>
          </w:tcPr>
          <w:p w:rsidR="00000000" w:rsidDel="00000000" w:rsidP="00000000" w:rsidRDefault="00000000" w:rsidRPr="00000000" w14:paraId="000001D8">
            <w:pPr>
              <w:spacing w:after="0" w:before="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IMpower 131</w:t>
            </w:r>
          </w:p>
          <w:p w:rsidR="00000000" w:rsidDel="00000000" w:rsidP="00000000" w:rsidRDefault="00000000" w:rsidRPr="00000000" w14:paraId="000001D9">
            <w:pPr>
              <w:spacing w:after="0" w:before="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N=340</w:t>
            </w:r>
          </w:p>
        </w:tc>
        <w:tc>
          <w:tcPr>
            <w:tcBorders>
              <w:top w:color="000000" w:space="0" w:sz="4" w:val="single"/>
              <w:left w:color="000000" w:space="0" w:sz="4" w:val="single"/>
              <w:bottom w:color="000000" w:space="0" w:sz="4" w:val="single"/>
              <w:right w:color="000000" w:space="0" w:sz="4" w:val="single"/>
            </w:tcBorders>
            <w:shd w:fill="c9daf8" w:val="clear"/>
            <w:tcMar>
              <w:top w:w="100.0" w:type="dxa"/>
              <w:left w:w="100.0" w:type="dxa"/>
              <w:bottom w:w="100.0" w:type="dxa"/>
              <w:right w:w="100.0" w:type="dxa"/>
            </w:tcMar>
          </w:tcPr>
          <w:p w:rsidR="00000000" w:rsidDel="00000000" w:rsidP="00000000" w:rsidRDefault="00000000" w:rsidRPr="00000000" w14:paraId="000001DA">
            <w:pPr>
              <w:spacing w:after="0" w:before="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IMpower 132</w:t>
            </w:r>
          </w:p>
          <w:p w:rsidR="00000000" w:rsidDel="00000000" w:rsidP="00000000" w:rsidRDefault="00000000" w:rsidRPr="00000000" w14:paraId="000001DB">
            <w:pPr>
              <w:spacing w:after="0" w:before="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N=281</w:t>
            </w:r>
          </w:p>
        </w:tc>
        <w:tc>
          <w:tcPr>
            <w:vMerge w:val="continue"/>
            <w:tcBorders>
              <w:top w:color="000000" w:space="0" w:sz="4" w:val="single"/>
              <w:left w:color="000000" w:space="0" w:sz="4" w:val="single"/>
              <w:bottom w:color="000000" w:space="0" w:sz="4" w:val="single"/>
              <w:right w:color="000000" w:space="0" w:sz="4" w:val="single"/>
            </w:tcBorders>
            <w:shd w:fill="c9daf8" w:val="clear"/>
            <w:tcMar>
              <w:top w:w="100.0" w:type="dxa"/>
              <w:left w:w="100.0" w:type="dxa"/>
              <w:bottom w:w="100.0" w:type="dxa"/>
              <w:right w:w="100.0" w:type="dxa"/>
            </w:tcMar>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r>
      <w:tr>
        <w:trPr>
          <w:cantSplit w:val="0"/>
          <w:trHeight w:val="425" w:hRule="atLeast"/>
          <w:tblHeader w:val="0"/>
        </w:trPr>
        <w:tc>
          <w:tcPr>
            <w:vMerge w:val="restart"/>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DD">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Age group (years), 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DE">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&lt; 65</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DF">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435 (51.2)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E0">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114 (50.0)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E1">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156 (45.9)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E2">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164 (58.4)</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E3">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1222 (36.6)</w:t>
            </w:r>
          </w:p>
        </w:tc>
      </w:tr>
      <w:tr>
        <w:trPr>
          <w:cantSplit w:val="0"/>
          <w:trHeight w:val="42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E5">
            <w:pPr>
              <w:spacing w:after="0" w:before="0" w:lineRule="auto"/>
              <w:rPr>
                <w:rFonts w:ascii="Arial" w:cs="Arial" w:eastAsia="Arial" w:hAnsi="Arial"/>
                <w:sz w:val="20"/>
                <w:szCs w:val="20"/>
              </w:rPr>
            </w:pPr>
            <w:r w:rsidDel="00000000" w:rsidR="00000000" w:rsidRPr="00000000">
              <w:rPr>
                <w:rFonts w:ascii="Arial Unicode MS" w:cs="Arial Unicode MS" w:eastAsia="Arial Unicode MS" w:hAnsi="Arial Unicode MS"/>
                <w:sz w:val="20"/>
                <w:szCs w:val="20"/>
                <w:rtl w:val="0"/>
              </w:rPr>
              <w:t xml:space="preserve">≥ 65 and &lt; 75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E6">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322 (37.9)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E7">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83 (36.4)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E8">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145 (42.6)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E9">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94 (33.5)</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EA">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1268 (38.0)</w:t>
            </w:r>
          </w:p>
        </w:tc>
      </w:tr>
      <w:tr>
        <w:trPr>
          <w:cantSplit w:val="0"/>
          <w:trHeight w:val="425" w:hRule="atLeast"/>
          <w:tblHeader w:val="0"/>
        </w:trPr>
        <w:tc>
          <w:tcPr>
            <w:vMerge w:val="continue"/>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EC">
            <w:pPr>
              <w:spacing w:after="0" w:before="0" w:lineRule="auto"/>
              <w:rPr>
                <w:rFonts w:ascii="Arial" w:cs="Arial" w:eastAsia="Arial" w:hAnsi="Arial"/>
                <w:sz w:val="20"/>
                <w:szCs w:val="20"/>
              </w:rPr>
            </w:pPr>
            <w:r w:rsidDel="00000000" w:rsidR="00000000" w:rsidRPr="00000000">
              <w:rPr>
                <w:rFonts w:ascii="Arial Unicode MS" w:cs="Arial Unicode MS" w:eastAsia="Arial Unicode MS" w:hAnsi="Arial Unicode MS"/>
                <w:sz w:val="20"/>
                <w:szCs w:val="20"/>
                <w:rtl w:val="0"/>
              </w:rPr>
              <w:t xml:space="preserve">≥ 75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ED">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92 (10.8)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EE">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30 (13.2)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EF">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39 (11.5)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F0">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23 (8.2)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F1">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850 (25.4)</w:t>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F2">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Gender, n(%)</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F3">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Female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F4">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248 (29.2)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F5">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94 (41.2)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F6">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63 (18.5)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F7">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91 (32.4)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F8">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1457 (43.6)</w:t>
            </w:r>
          </w:p>
        </w:tc>
      </w:tr>
      <w:tr>
        <w:trPr>
          <w:cantSplit w:val="0"/>
          <w:trHeight w:val="42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F9">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Race, n(%)</w:t>
            </w:r>
          </w:p>
          <w:p w:rsidR="00000000" w:rsidDel="00000000" w:rsidP="00000000" w:rsidRDefault="00000000" w:rsidRPr="00000000" w14:paraId="000001FA">
            <w:pPr>
              <w:spacing w:after="0" w:before="0" w:lineRule="auto"/>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FB">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Asian</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1FC">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105 (12.4)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FD">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 (1.3)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FE">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37 (10.9)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1FF">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65 (23.1)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00">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46 (1.4)</w:t>
            </w:r>
          </w:p>
        </w:tc>
      </w:tr>
      <w:tr>
        <w:trPr>
          <w:cantSplit w:val="0"/>
          <w:trHeight w:val="4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02">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White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03">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699 (82.3)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04">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210 (92.1)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05">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290 (85.3)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06">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199 (70.8)</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07">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2373 (71.0)</w:t>
            </w:r>
          </w:p>
        </w:tc>
      </w:tr>
      <w:tr>
        <w:trPr>
          <w:cantSplit w:val="0"/>
          <w:trHeight w:val="4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09">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Other</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0A">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45 (5.3)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0B">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15 (6.6)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0C">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13 (3.8)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0D">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17 (6.0)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0E">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921 (27.6)</w:t>
            </w:r>
          </w:p>
        </w:tc>
      </w:tr>
      <w:tr>
        <w:trPr>
          <w:cantSplit w:val="0"/>
          <w:trHeight w:val="42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0F">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ECOG PS, n(%)</w:t>
            </w:r>
          </w:p>
          <w:p w:rsidR="00000000" w:rsidDel="00000000" w:rsidP="00000000" w:rsidRDefault="00000000" w:rsidRPr="00000000" w14:paraId="00000210">
            <w:pPr>
              <w:spacing w:after="0" w:before="0" w:lineRule="auto"/>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11">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12">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314 (37.0)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13">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91 (39.9)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14">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110 (32.4)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15">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113 (40.2)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16">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714 (21.4)</w:t>
            </w:r>
          </w:p>
        </w:tc>
      </w:tr>
      <w:tr>
        <w:trPr>
          <w:cantSplit w:val="0"/>
          <w:trHeight w:val="4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18">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19">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532 (62.7)</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1A">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136 (59.6)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1B">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229 (67.4)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1C">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167 (59.4)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1D">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1179 (35.3)</w:t>
            </w:r>
          </w:p>
        </w:tc>
      </w:tr>
      <w:tr>
        <w:trPr>
          <w:cantSplit w:val="0"/>
          <w:trHeight w:val="4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1F">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20">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 (0.0)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21">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 (0.4)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22">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 (0.0)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23">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 (0.0)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24">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 (0.0)</w:t>
            </w:r>
          </w:p>
        </w:tc>
      </w:tr>
      <w:tr>
        <w:trPr>
          <w:cantSplit w:val="0"/>
          <w:trHeight w:val="4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26">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Unknown</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27">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 (0.2)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28">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 (0.0)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29">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 (0.3)</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2A">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 (0.4)</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2B">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1447 (43.3)</w:t>
            </w:r>
          </w:p>
        </w:tc>
      </w:tr>
      <w:tr>
        <w:trPr>
          <w:cantSplit w:val="0"/>
          <w:trHeight w:val="42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2C">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Metastatic diagnosis, n(%)</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2D">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 novo Stage IV</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2E">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706 (83.2)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2F">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188 (82.5)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30">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270 (79.4)</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31">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248 (88.3)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32">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2118 (63.4)</w:t>
            </w:r>
          </w:p>
        </w:tc>
      </w:tr>
      <w:tr>
        <w:trPr>
          <w:cantSplit w:val="0"/>
          <w:trHeight w:val="4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34">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Recurrent disease</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35">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143 (16.8)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36">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40 (17.5)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37">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70 (20.6)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38">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33 (11.7)</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39">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1221 (36.6)</w:t>
            </w:r>
          </w:p>
        </w:tc>
      </w:tr>
      <w:tr>
        <w:trPr>
          <w:cantSplit w:val="0"/>
          <w:trHeight w:val="42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3A">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Smoking history, n(%)</w:t>
            </w:r>
          </w:p>
          <w:p w:rsidR="00000000" w:rsidDel="00000000" w:rsidP="00000000" w:rsidRDefault="00000000" w:rsidRPr="00000000" w14:paraId="0000023B">
            <w:pPr>
              <w:spacing w:after="0" w:before="0" w:lineRule="auto"/>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3C">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3D">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69 (8.1)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3E">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17 (7.5)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3F">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24 (7.1)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40">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28 (10.0)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41">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257 (7.7)</w:t>
            </w:r>
          </w:p>
        </w:tc>
      </w:tr>
      <w:tr>
        <w:trPr>
          <w:cantSplit w:val="0"/>
          <w:trHeight w:val="4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43">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44">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780 (91.9)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45">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211 (92.5)</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46">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316 (92.9)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47">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253 (90.0)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48">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3070 (91.9)</w:t>
            </w:r>
          </w:p>
        </w:tc>
      </w:tr>
      <w:tr>
        <w:trPr>
          <w:cantSplit w:val="0"/>
          <w:trHeight w:val="4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4A">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Unknown</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4B">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 (0.0)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4C">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 (0.0)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4D">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 (0.0)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24E">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 (0.0)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4F">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13 (0.4)</w:t>
            </w:r>
          </w:p>
        </w:tc>
      </w:tr>
      <w:tr>
        <w:trPr>
          <w:cantSplit w:val="0"/>
          <w:trHeight w:val="42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50">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Histology, n(%)</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51">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Non-squamous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52">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509 (60.0)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53">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228 (100.0)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54">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 (0.0)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55">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281 (100.0)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56">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2278 (68.2)</w:t>
            </w:r>
          </w:p>
        </w:tc>
      </w:tr>
      <w:tr>
        <w:trPr>
          <w:cantSplit w:val="0"/>
          <w:trHeight w:val="4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58">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Squamous</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59">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340 (40.0)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5A">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 (0.0)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5B">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340 (100.0)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5C">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 (0.0)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5D">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1062 (31.8)</w:t>
            </w:r>
          </w:p>
        </w:tc>
      </w:tr>
      <w:tr>
        <w:trPr>
          <w:cantSplit w:val="0"/>
          <w:trHeight w:val="66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5E">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Time from initial diagnosis to index date (months), (median [IQR])</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5F">
            <w:pPr>
              <w:spacing w:after="0" w:before="0" w:lineRule="auto"/>
              <w:rPr>
                <w:rFonts w:ascii="Arial" w:cs="Arial" w:eastAsia="Arial" w:hAnsi="Arial"/>
              </w:rPr>
            </w:pPr>
            <w:r w:rsidDel="00000000" w:rsidR="00000000" w:rsidRPr="00000000">
              <w:rPr>
                <w:rFonts w:ascii="Arial" w:cs="Arial" w:eastAsia="Arial" w:hAnsi="Arial"/>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60">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1.41 [0.92, 2.89]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61">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1.58 [1.08, 3.08]</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62">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1.41 [0.91, 3.96]</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63">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1.35 [0.92, 2.43]</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64">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1.25 [0.79, 2.27]</w:t>
            </w:r>
          </w:p>
        </w:tc>
      </w:tr>
      <w:tr>
        <w:trPr>
          <w:cantSplit w:val="0"/>
          <w:trHeight w:val="66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65">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Treatment, n(%)</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66">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Carboplatin+Pacli/Nab-pacli</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67">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568 (66.9)</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68">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228 (100.0)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69">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340 (100.0)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6A">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 (0.0)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6B">
            <w:pPr>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1877 (56.2)</w:t>
            </w:r>
          </w:p>
        </w:tc>
      </w:tr>
      <w:tr>
        <w:trPr>
          <w:cantSplit w:val="0"/>
          <w:trHeight w:val="4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6D">
            <w:pPr>
              <w:spacing w:after="0" w:before="0" w:line="4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Platinum+Pemetrexed</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6E">
            <w:pPr>
              <w:spacing w:after="0" w:before="0" w:line="4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281 (33.1)</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6F">
            <w:pPr>
              <w:spacing w:after="0" w:before="0" w:line="4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 (0.0)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70">
            <w:pPr>
              <w:spacing w:after="0" w:before="0" w:line="4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0 (0.0)</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vAlign w:val="center"/>
          </w:tcPr>
          <w:p w:rsidR="00000000" w:rsidDel="00000000" w:rsidP="00000000" w:rsidRDefault="00000000" w:rsidRPr="00000000" w14:paraId="00000271">
            <w:pPr>
              <w:spacing w:after="0" w:before="0" w:line="4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281 (100.0)</w:t>
            </w:r>
          </w:p>
        </w:tc>
        <w:tc>
          <w:tcPr>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272">
            <w:pPr>
              <w:spacing w:after="0" w:before="0" w:line="48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1463 (43.8)</w:t>
            </w:r>
          </w:p>
        </w:tc>
      </w:tr>
    </w:tbl>
    <w:p w:rsidR="00000000" w:rsidDel="00000000" w:rsidP="00000000" w:rsidRDefault="00000000" w:rsidRPr="00000000" w14:paraId="00000273">
      <w:pPr>
        <w:spacing w:after="0" w:before="0" w:lineRule="auto"/>
        <w:rPr/>
      </w:pPr>
      <w:r w:rsidDel="00000000" w:rsidR="00000000" w:rsidRPr="00000000">
        <w:rPr>
          <w:rFonts w:ascii="Arial" w:cs="Arial" w:eastAsia="Arial" w:hAnsi="Arial"/>
          <w:sz w:val="20"/>
          <w:szCs w:val="20"/>
          <w:rtl w:val="0"/>
        </w:rPr>
        <w:t xml:space="preserve">Notes: ECOG PS = Eastern Cooperative Group Performance Status; OC = observational comparator; RCT = randomized clinical trial.</w:t>
      </w:r>
      <w:r w:rsidDel="00000000" w:rsidR="00000000" w:rsidRPr="00000000">
        <w:rPr>
          <w:rtl w:val="0"/>
        </w:rPr>
      </w:r>
    </w:p>
    <w:p w:rsidR="00000000" w:rsidDel="00000000" w:rsidP="00000000" w:rsidRDefault="00000000" w:rsidRPr="00000000" w14:paraId="00000274">
      <w:pPr>
        <w:spacing w:after="0" w:before="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275">
      <w:pPr>
        <w:keepNext w:val="1"/>
        <w:rPr/>
      </w:pPr>
      <w:r w:rsidDel="00000000" w:rsidR="00000000" w:rsidRPr="00000000">
        <w:rPr>
          <w:b w:val="1"/>
          <w:rtl w:val="0"/>
        </w:rPr>
        <w:t xml:space="preserve">Supplementary Table 5.</w:t>
      </w:r>
      <w:r w:rsidDel="00000000" w:rsidR="00000000" w:rsidRPr="00000000">
        <w:rPr>
          <w:rtl w:val="0"/>
        </w:rPr>
        <w:t xml:space="preserve">  Average* distribution of IPCW stabilized weights by group.</w:t>
      </w:r>
    </w:p>
    <w:tbl>
      <w:tblPr>
        <w:tblStyle w:val="Table5"/>
        <w:tblW w:w="43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1220"/>
        <w:gridCol w:w="1300"/>
        <w:tblGridChange w:id="0">
          <w:tblGrid>
            <w:gridCol w:w="1860"/>
            <w:gridCol w:w="1220"/>
            <w:gridCol w:w="1300"/>
          </w:tblGrid>
        </w:tblGridChange>
      </w:tblGrid>
      <w:tr>
        <w:trPr>
          <w:cantSplit w:val="0"/>
          <w:trHeight w:val="300" w:hRule="atLeast"/>
          <w:tblHeader w:val="0"/>
        </w:trPr>
        <w:tc>
          <w:tcPr>
            <w:tcBorders>
              <w:top w:color="000000" w:space="0" w:sz="8" w:val="dotted"/>
              <w:left w:color="000000" w:space="0" w:sz="8" w:val="dotted"/>
              <w:bottom w:color="000000" w:space="0" w:sz="8" w:val="dotted"/>
              <w:right w:color="000000" w:space="0" w:sz="8" w:val="dotted"/>
            </w:tcBorders>
            <w:tcMar>
              <w:top w:w="140.0" w:type="dxa"/>
              <w:left w:w="140.0" w:type="dxa"/>
              <w:bottom w:w="140.0" w:type="dxa"/>
              <w:right w:w="140.0" w:type="dxa"/>
            </w:tcMar>
          </w:tcPr>
          <w:p w:rsidR="00000000" w:rsidDel="00000000" w:rsidP="00000000" w:rsidRDefault="00000000" w:rsidRPr="00000000" w14:paraId="00000276">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 </w:t>
            </w:r>
          </w:p>
        </w:tc>
        <w:tc>
          <w:tcPr>
            <w:tcBorders>
              <w:top w:color="000000" w:space="0" w:sz="8" w:val="dotted"/>
              <w:left w:color="000000" w:space="0" w:sz="8" w:val="dotted"/>
              <w:bottom w:color="000000" w:space="0" w:sz="8" w:val="dotted"/>
              <w:right w:color="000000" w:space="0" w:sz="8" w:val="dotted"/>
            </w:tcBorders>
            <w:tcMar>
              <w:top w:w="140.0" w:type="dxa"/>
              <w:left w:w="140.0" w:type="dxa"/>
              <w:bottom w:w="140.0" w:type="dxa"/>
              <w:right w:w="140.0" w:type="dxa"/>
            </w:tcMar>
          </w:tcPr>
          <w:p w:rsidR="00000000" w:rsidDel="00000000" w:rsidP="00000000" w:rsidRDefault="00000000" w:rsidRPr="00000000" w14:paraId="00000277">
            <w:pPr>
              <w:widowControl w:val="0"/>
              <w:spacing w:after="0" w:before="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RCT</w:t>
            </w:r>
          </w:p>
        </w:tc>
        <w:tc>
          <w:tcPr>
            <w:tcBorders>
              <w:top w:color="000000" w:space="0" w:sz="8" w:val="dotted"/>
              <w:left w:color="000000" w:space="0" w:sz="8" w:val="dotted"/>
              <w:bottom w:color="000000" w:space="0" w:sz="8" w:val="dotted"/>
              <w:right w:color="000000" w:space="0" w:sz="8" w:val="dotted"/>
            </w:tcBorders>
            <w:tcMar>
              <w:top w:w="140.0" w:type="dxa"/>
              <w:left w:w="140.0" w:type="dxa"/>
              <w:bottom w:w="140.0" w:type="dxa"/>
              <w:right w:w="140.0" w:type="dxa"/>
            </w:tcMar>
          </w:tcPr>
          <w:p w:rsidR="00000000" w:rsidDel="00000000" w:rsidP="00000000" w:rsidRDefault="00000000" w:rsidRPr="00000000" w14:paraId="00000278">
            <w:pPr>
              <w:widowControl w:val="0"/>
              <w:spacing w:after="0" w:before="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OC</w:t>
            </w:r>
          </w:p>
        </w:tc>
      </w:tr>
      <w:tr>
        <w:trPr>
          <w:cantSplit w:val="0"/>
          <w:trHeight w:val="280" w:hRule="atLeast"/>
          <w:tblHeader w:val="0"/>
        </w:trPr>
        <w:tc>
          <w:tcPr>
            <w:tcBorders>
              <w:top w:color="000000" w:space="0" w:sz="8" w:val="dotted"/>
              <w:left w:color="000000" w:space="0" w:sz="8" w:val="dotted"/>
              <w:bottom w:color="000000" w:space="0" w:sz="8" w:val="dotted"/>
              <w:right w:color="000000" w:space="0" w:sz="8" w:val="dotted"/>
            </w:tcBorders>
            <w:tcMar>
              <w:top w:w="140.0" w:type="dxa"/>
              <w:left w:w="140.0" w:type="dxa"/>
              <w:bottom w:w="140.0" w:type="dxa"/>
              <w:right w:w="140.0" w:type="dxa"/>
            </w:tcMar>
          </w:tcPr>
          <w:p w:rsidR="00000000" w:rsidDel="00000000" w:rsidP="00000000" w:rsidRDefault="00000000" w:rsidRPr="00000000" w14:paraId="00000279">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Mean</w:t>
            </w:r>
          </w:p>
        </w:tc>
        <w:tc>
          <w:tcPr>
            <w:tcBorders>
              <w:top w:color="000000" w:space="0" w:sz="8" w:val="dotted"/>
              <w:left w:color="000000" w:space="0" w:sz="8" w:val="dotted"/>
              <w:bottom w:color="000000" w:space="0" w:sz="8" w:val="dotted"/>
              <w:right w:color="000000" w:space="0" w:sz="8" w:val="dotted"/>
            </w:tcBorders>
            <w:tcMar>
              <w:top w:w="140.0" w:type="dxa"/>
              <w:left w:w="140.0" w:type="dxa"/>
              <w:bottom w:w="140.0" w:type="dxa"/>
              <w:right w:w="140.0" w:type="dxa"/>
            </w:tcMar>
          </w:tcPr>
          <w:p w:rsidR="00000000" w:rsidDel="00000000" w:rsidP="00000000" w:rsidRDefault="00000000" w:rsidRPr="00000000" w14:paraId="0000027A">
            <w:pPr>
              <w:widowControl w:val="0"/>
              <w:spacing w:after="0"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0.94</w:t>
            </w:r>
          </w:p>
        </w:tc>
        <w:tc>
          <w:tcPr>
            <w:tcBorders>
              <w:top w:color="000000" w:space="0" w:sz="8" w:val="dotted"/>
              <w:left w:color="000000" w:space="0" w:sz="8" w:val="dotted"/>
              <w:bottom w:color="000000" w:space="0" w:sz="8" w:val="dotted"/>
              <w:right w:color="000000" w:space="0" w:sz="8" w:val="dotted"/>
            </w:tcBorders>
            <w:tcMar>
              <w:top w:w="140.0" w:type="dxa"/>
              <w:left w:w="140.0" w:type="dxa"/>
              <w:bottom w:w="140.0" w:type="dxa"/>
              <w:right w:w="140.0" w:type="dxa"/>
            </w:tcMar>
          </w:tcPr>
          <w:p w:rsidR="00000000" w:rsidDel="00000000" w:rsidP="00000000" w:rsidRDefault="00000000" w:rsidRPr="00000000" w14:paraId="0000027B">
            <w:pPr>
              <w:widowControl w:val="0"/>
              <w:spacing w:after="0"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0.99</w:t>
            </w:r>
          </w:p>
        </w:tc>
      </w:tr>
      <w:tr>
        <w:trPr>
          <w:cantSplit w:val="0"/>
          <w:trHeight w:val="280" w:hRule="atLeast"/>
          <w:tblHeader w:val="0"/>
        </w:trPr>
        <w:tc>
          <w:tcPr>
            <w:tcBorders>
              <w:top w:color="000000" w:space="0" w:sz="8" w:val="dotted"/>
              <w:left w:color="000000" w:space="0" w:sz="8" w:val="dotted"/>
              <w:bottom w:color="000000" w:space="0" w:sz="8" w:val="dotted"/>
              <w:right w:color="000000" w:space="0" w:sz="8" w:val="dotted"/>
            </w:tcBorders>
            <w:shd w:fill="f3f3f3" w:val="clear"/>
            <w:tcMar>
              <w:top w:w="140.0" w:type="dxa"/>
              <w:left w:w="140.0" w:type="dxa"/>
              <w:bottom w:w="140.0" w:type="dxa"/>
              <w:right w:w="140.0" w:type="dxa"/>
            </w:tcMar>
          </w:tcPr>
          <w:p w:rsidR="00000000" w:rsidDel="00000000" w:rsidP="00000000" w:rsidRDefault="00000000" w:rsidRPr="00000000" w14:paraId="0000027C">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SD</w:t>
            </w:r>
          </w:p>
        </w:tc>
        <w:tc>
          <w:tcPr>
            <w:tcBorders>
              <w:top w:color="000000" w:space="0" w:sz="8" w:val="dotted"/>
              <w:left w:color="000000" w:space="0" w:sz="8" w:val="dotted"/>
              <w:bottom w:color="000000" w:space="0" w:sz="8" w:val="dotted"/>
              <w:right w:color="000000" w:space="0" w:sz="8" w:val="dotted"/>
            </w:tcBorders>
            <w:shd w:fill="f3f3f3" w:val="clear"/>
            <w:tcMar>
              <w:top w:w="140.0" w:type="dxa"/>
              <w:left w:w="140.0" w:type="dxa"/>
              <w:bottom w:w="140.0" w:type="dxa"/>
              <w:right w:w="140.0" w:type="dxa"/>
            </w:tcMar>
          </w:tcPr>
          <w:p w:rsidR="00000000" w:rsidDel="00000000" w:rsidP="00000000" w:rsidRDefault="00000000" w:rsidRPr="00000000" w14:paraId="0000027D">
            <w:pPr>
              <w:widowControl w:val="0"/>
              <w:spacing w:after="0"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0.84</w:t>
            </w:r>
          </w:p>
        </w:tc>
        <w:tc>
          <w:tcPr>
            <w:tcBorders>
              <w:top w:color="000000" w:space="0" w:sz="8" w:val="dotted"/>
              <w:left w:color="000000" w:space="0" w:sz="8" w:val="dotted"/>
              <w:bottom w:color="000000" w:space="0" w:sz="8" w:val="dotted"/>
              <w:right w:color="000000" w:space="0" w:sz="8" w:val="dotted"/>
            </w:tcBorders>
            <w:shd w:fill="f3f3f3" w:val="clear"/>
            <w:tcMar>
              <w:top w:w="140.0" w:type="dxa"/>
              <w:left w:w="140.0" w:type="dxa"/>
              <w:bottom w:w="140.0" w:type="dxa"/>
              <w:right w:w="140.0" w:type="dxa"/>
            </w:tcMar>
          </w:tcPr>
          <w:p w:rsidR="00000000" w:rsidDel="00000000" w:rsidP="00000000" w:rsidRDefault="00000000" w:rsidRPr="00000000" w14:paraId="0000027E">
            <w:pPr>
              <w:widowControl w:val="0"/>
              <w:spacing w:after="0"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w:t>
            </w:r>
          </w:p>
        </w:tc>
      </w:tr>
      <w:tr>
        <w:trPr>
          <w:cantSplit w:val="0"/>
          <w:trHeight w:val="280" w:hRule="atLeast"/>
          <w:tblHeader w:val="0"/>
        </w:trPr>
        <w:tc>
          <w:tcPr>
            <w:tcBorders>
              <w:top w:color="000000" w:space="0" w:sz="8" w:val="dotted"/>
              <w:left w:color="000000" w:space="0" w:sz="8" w:val="dotted"/>
              <w:bottom w:color="000000" w:space="0" w:sz="8" w:val="dotted"/>
              <w:right w:color="000000" w:space="0" w:sz="8" w:val="dotted"/>
            </w:tcBorders>
            <w:shd w:fill="ffffff" w:val="clear"/>
            <w:tcMar>
              <w:top w:w="140.0" w:type="dxa"/>
              <w:left w:w="140.0" w:type="dxa"/>
              <w:bottom w:w="140.0" w:type="dxa"/>
              <w:right w:w="140.0" w:type="dxa"/>
            </w:tcMar>
          </w:tcPr>
          <w:p w:rsidR="00000000" w:rsidDel="00000000" w:rsidP="00000000" w:rsidRDefault="00000000" w:rsidRPr="00000000" w14:paraId="0000027F">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Median</w:t>
            </w:r>
          </w:p>
        </w:tc>
        <w:tc>
          <w:tcPr>
            <w:tcBorders>
              <w:top w:color="000000" w:space="0" w:sz="8" w:val="dotted"/>
              <w:left w:color="000000" w:space="0" w:sz="8" w:val="dotted"/>
              <w:bottom w:color="000000" w:space="0" w:sz="8" w:val="dotted"/>
              <w:right w:color="000000" w:space="0" w:sz="8" w:val="dotted"/>
            </w:tcBorders>
            <w:shd w:fill="ffffff" w:val="clear"/>
            <w:tcMar>
              <w:top w:w="140.0" w:type="dxa"/>
              <w:left w:w="140.0" w:type="dxa"/>
              <w:bottom w:w="140.0" w:type="dxa"/>
              <w:right w:w="140.0" w:type="dxa"/>
            </w:tcMar>
          </w:tcPr>
          <w:p w:rsidR="00000000" w:rsidDel="00000000" w:rsidP="00000000" w:rsidRDefault="00000000" w:rsidRPr="00000000" w14:paraId="00000280">
            <w:pPr>
              <w:widowControl w:val="0"/>
              <w:spacing w:after="0"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0.94</w:t>
            </w:r>
          </w:p>
        </w:tc>
        <w:tc>
          <w:tcPr>
            <w:tcBorders>
              <w:top w:color="000000" w:space="0" w:sz="8" w:val="dotted"/>
              <w:left w:color="000000" w:space="0" w:sz="8" w:val="dotted"/>
              <w:bottom w:color="000000" w:space="0" w:sz="8" w:val="dotted"/>
              <w:right w:color="000000" w:space="0" w:sz="8" w:val="dotted"/>
            </w:tcBorders>
            <w:shd w:fill="ffffff" w:val="clear"/>
            <w:tcMar>
              <w:top w:w="140.0" w:type="dxa"/>
              <w:left w:w="140.0" w:type="dxa"/>
              <w:bottom w:w="140.0" w:type="dxa"/>
              <w:right w:w="140.0" w:type="dxa"/>
            </w:tcMar>
          </w:tcPr>
          <w:p w:rsidR="00000000" w:rsidDel="00000000" w:rsidP="00000000" w:rsidRDefault="00000000" w:rsidRPr="00000000" w14:paraId="00000281">
            <w:pPr>
              <w:widowControl w:val="0"/>
              <w:spacing w:after="0"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w:t>
            </w:r>
          </w:p>
        </w:tc>
      </w:tr>
      <w:tr>
        <w:trPr>
          <w:cantSplit w:val="0"/>
          <w:trHeight w:val="280" w:hRule="atLeast"/>
          <w:tblHeader w:val="0"/>
        </w:trPr>
        <w:tc>
          <w:tcPr>
            <w:tcBorders>
              <w:top w:color="000000" w:space="0" w:sz="8" w:val="dotted"/>
              <w:left w:color="000000" w:space="0" w:sz="8" w:val="dotted"/>
              <w:bottom w:color="000000" w:space="0" w:sz="8" w:val="dotted"/>
              <w:right w:color="000000" w:space="0" w:sz="8" w:val="dotted"/>
            </w:tcBorders>
            <w:shd w:fill="f3f3f3" w:val="clear"/>
            <w:tcMar>
              <w:top w:w="140.0" w:type="dxa"/>
              <w:left w:w="140.0" w:type="dxa"/>
              <w:bottom w:w="140.0" w:type="dxa"/>
              <w:right w:w="140.0" w:type="dxa"/>
            </w:tcMar>
          </w:tcPr>
          <w:p w:rsidR="00000000" w:rsidDel="00000000" w:rsidP="00000000" w:rsidRDefault="00000000" w:rsidRPr="00000000" w14:paraId="00000282">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Minimum</w:t>
            </w:r>
          </w:p>
        </w:tc>
        <w:tc>
          <w:tcPr>
            <w:tcBorders>
              <w:top w:color="000000" w:space="0" w:sz="8" w:val="dotted"/>
              <w:left w:color="000000" w:space="0" w:sz="8" w:val="dotted"/>
              <w:bottom w:color="000000" w:space="0" w:sz="8" w:val="dotted"/>
              <w:right w:color="000000" w:space="0" w:sz="8" w:val="dotted"/>
            </w:tcBorders>
            <w:shd w:fill="f3f3f3" w:val="clear"/>
            <w:tcMar>
              <w:top w:w="140.0" w:type="dxa"/>
              <w:left w:w="140.0" w:type="dxa"/>
              <w:bottom w:w="140.0" w:type="dxa"/>
              <w:right w:w="140.0" w:type="dxa"/>
            </w:tcMar>
          </w:tcPr>
          <w:p w:rsidR="00000000" w:rsidDel="00000000" w:rsidP="00000000" w:rsidRDefault="00000000" w:rsidRPr="00000000" w14:paraId="00000283">
            <w:pPr>
              <w:widowControl w:val="0"/>
              <w:spacing w:after="0"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0.28</w:t>
            </w:r>
          </w:p>
        </w:tc>
        <w:tc>
          <w:tcPr>
            <w:tcBorders>
              <w:top w:color="000000" w:space="0" w:sz="8" w:val="dotted"/>
              <w:left w:color="000000" w:space="0" w:sz="8" w:val="dotted"/>
              <w:bottom w:color="000000" w:space="0" w:sz="8" w:val="dotted"/>
              <w:right w:color="000000" w:space="0" w:sz="8" w:val="dotted"/>
            </w:tcBorders>
            <w:shd w:fill="f3f3f3" w:val="clear"/>
            <w:tcMar>
              <w:top w:w="140.0" w:type="dxa"/>
              <w:left w:w="140.0" w:type="dxa"/>
              <w:bottom w:w="140.0" w:type="dxa"/>
              <w:right w:w="140.0" w:type="dxa"/>
            </w:tcMar>
          </w:tcPr>
          <w:p w:rsidR="00000000" w:rsidDel="00000000" w:rsidP="00000000" w:rsidRDefault="00000000" w:rsidRPr="00000000" w14:paraId="00000284">
            <w:pPr>
              <w:widowControl w:val="0"/>
              <w:spacing w:after="0"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0.39</w:t>
            </w:r>
          </w:p>
        </w:tc>
      </w:tr>
      <w:tr>
        <w:trPr>
          <w:cantSplit w:val="0"/>
          <w:trHeight w:val="580" w:hRule="atLeast"/>
          <w:tblHeader w:val="0"/>
        </w:trPr>
        <w:tc>
          <w:tcPr>
            <w:tcBorders>
              <w:top w:color="000000" w:space="0" w:sz="8" w:val="dotted"/>
              <w:left w:color="000000" w:space="0" w:sz="8" w:val="dotted"/>
              <w:bottom w:color="000000" w:space="0" w:sz="8" w:val="dotted"/>
              <w:right w:color="000000" w:space="0" w:sz="8" w:val="dotted"/>
            </w:tcBorders>
            <w:tcMar>
              <w:top w:w="140.0" w:type="dxa"/>
              <w:left w:w="140.0" w:type="dxa"/>
              <w:bottom w:w="140.0" w:type="dxa"/>
              <w:right w:w="140.0" w:type="dxa"/>
            </w:tcMar>
          </w:tcPr>
          <w:p w:rsidR="00000000" w:rsidDel="00000000" w:rsidP="00000000" w:rsidRDefault="00000000" w:rsidRPr="00000000" w14:paraId="00000285">
            <w:pPr>
              <w:widowControl w:val="0"/>
              <w:spacing w:after="0" w:before="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Maximum</w:t>
            </w:r>
          </w:p>
        </w:tc>
        <w:tc>
          <w:tcPr>
            <w:tcBorders>
              <w:top w:color="000000" w:space="0" w:sz="8" w:val="dotted"/>
              <w:left w:color="000000" w:space="0" w:sz="8" w:val="dotted"/>
              <w:bottom w:color="000000" w:space="0" w:sz="8" w:val="dotted"/>
              <w:right w:color="000000" w:space="0" w:sz="8" w:val="dotted"/>
            </w:tcBorders>
            <w:tcMar>
              <w:top w:w="140.0" w:type="dxa"/>
              <w:left w:w="140.0" w:type="dxa"/>
              <w:bottom w:w="140.0" w:type="dxa"/>
              <w:right w:w="140.0" w:type="dxa"/>
            </w:tcMar>
          </w:tcPr>
          <w:p w:rsidR="00000000" w:rsidDel="00000000" w:rsidP="00000000" w:rsidRDefault="00000000" w:rsidRPr="00000000" w14:paraId="00000286">
            <w:pPr>
              <w:widowControl w:val="0"/>
              <w:spacing w:after="0"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4.22</w:t>
            </w:r>
          </w:p>
        </w:tc>
        <w:tc>
          <w:tcPr>
            <w:tcBorders>
              <w:top w:color="000000" w:space="0" w:sz="8" w:val="dotted"/>
              <w:left w:color="000000" w:space="0" w:sz="8" w:val="dotted"/>
              <w:bottom w:color="000000" w:space="0" w:sz="8" w:val="dotted"/>
              <w:right w:color="000000" w:space="0" w:sz="8" w:val="dotted"/>
            </w:tcBorders>
            <w:tcMar>
              <w:top w:w="140.0" w:type="dxa"/>
              <w:left w:w="140.0" w:type="dxa"/>
              <w:bottom w:w="140.0" w:type="dxa"/>
              <w:right w:w="140.0" w:type="dxa"/>
            </w:tcMar>
          </w:tcPr>
          <w:p w:rsidR="00000000" w:rsidDel="00000000" w:rsidP="00000000" w:rsidRDefault="00000000" w:rsidRPr="00000000" w14:paraId="00000287">
            <w:pPr>
              <w:widowControl w:val="0"/>
              <w:spacing w:after="0"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5.66</w:t>
            </w:r>
          </w:p>
        </w:tc>
      </w:tr>
    </w:tbl>
    <w:p w:rsidR="00000000" w:rsidDel="00000000" w:rsidP="00000000" w:rsidRDefault="00000000" w:rsidRPr="00000000" w14:paraId="00000288">
      <w:pPr>
        <w:keepNext w:val="1"/>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Notes: IPCW = inverse probability of censoring weighting </w:t>
      </w:r>
    </w:p>
    <w:p w:rsidR="00000000" w:rsidDel="00000000" w:rsidP="00000000" w:rsidRDefault="00000000" w:rsidRPr="00000000" w14:paraId="00000289">
      <w:pPr>
        <w:keepNext w:val="1"/>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requirement of a mean of one applies to the estimated weights at each time point, but, as a simplification, we pooled the estimated weights from all time points in the study.</w:t>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138" w:top="1138" w:left="1282" w:right="1181"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E">
    <w:pPr>
      <w:jc w:val="right"/>
      <w:rPr>
        <w:color w:val="c0000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4635500</wp:posOffset>
              </wp:positionH>
              <wp:positionV relativeFrom="paragraph">
                <wp:posOffset>0</wp:posOffset>
              </wp:positionV>
              <wp:extent cx="1556385" cy="443230"/>
              <wp:effectExtent b="0" l="0" r="0" t="0"/>
              <wp:wrapNone/>
              <wp:docPr id="1" name=""/>
              <a:graphic>
                <a:graphicData uri="http://schemas.microsoft.com/office/word/2010/wordprocessingShape">
                  <wps:wsp>
                    <wps:cNvSpPr/>
                    <wps:cNvPr id="2" name="Shape 2"/>
                    <wps:spPr>
                      <a:xfrm>
                        <a:off x="4591620" y="3582198"/>
                        <a:ext cx="1508760" cy="395605"/>
                      </a:xfrm>
                      <a:prstGeom prst="rect">
                        <a:avLst/>
                      </a:prstGeom>
                      <a:noFill/>
                      <a:ln>
                        <a:noFill/>
                      </a:ln>
                    </wps:spPr>
                    <wps:txbx>
                      <w:txbxContent>
                        <w:p w:rsidR="00000000" w:rsidDel="00000000" w:rsidP="00000000" w:rsidRDefault="00000000" w:rsidRPr="00000000">
                          <w:pPr>
                            <w:spacing w:after="240" w:before="12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 Arabic  \* MERGEFORMAT 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4635500</wp:posOffset>
              </wp:positionH>
              <wp:positionV relativeFrom="paragraph">
                <wp:posOffset>0</wp:posOffset>
              </wp:positionV>
              <wp:extent cx="1556385" cy="443230"/>
              <wp:effectExtent b="0" l="0" r="0" t="0"/>
              <wp:wrapNone/>
              <wp:docPr id="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556385" cy="44323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F">
    <w:pPr>
      <w:jc w:val="right"/>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0">
    <w:pPr>
      <w:jc w:val="right"/>
      <w:rPr>
        <w:b w:val="1"/>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4635500</wp:posOffset>
              </wp:positionH>
              <wp:positionV relativeFrom="paragraph">
                <wp:posOffset>0</wp:posOffset>
              </wp:positionV>
              <wp:extent cx="1556385" cy="443230"/>
              <wp:effectExtent b="0" l="0" r="0" t="0"/>
              <wp:wrapNone/>
              <wp:docPr id="2" name=""/>
              <a:graphic>
                <a:graphicData uri="http://schemas.microsoft.com/office/word/2010/wordprocessingShape">
                  <wps:wsp>
                    <wps:cNvSpPr/>
                    <wps:cNvPr id="3" name="Shape 3"/>
                    <wps:spPr>
                      <a:xfrm>
                        <a:off x="4591620" y="3582198"/>
                        <a:ext cx="1508760" cy="395605"/>
                      </a:xfrm>
                      <a:prstGeom prst="rect">
                        <a:avLst/>
                      </a:prstGeom>
                      <a:noFill/>
                      <a:ln>
                        <a:noFill/>
                      </a:ln>
                    </wps:spPr>
                    <wps:txbx>
                      <w:txbxContent>
                        <w:p w:rsidR="00000000" w:rsidDel="00000000" w:rsidP="00000000" w:rsidRDefault="00000000" w:rsidRPr="00000000">
                          <w:pPr>
                            <w:spacing w:after="240" w:before="120" w:line="240"/>
                            <w:ind w:left="0" w:right="0" w:firstLine="0"/>
                            <w:jc w:val="righ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 Arabic  \* MERGEFORMAT 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4635500</wp:posOffset>
              </wp:positionH>
              <wp:positionV relativeFrom="paragraph">
                <wp:posOffset>0</wp:posOffset>
              </wp:positionV>
              <wp:extent cx="1556385" cy="443230"/>
              <wp:effectExtent b="0" l="0" r="0" t="0"/>
              <wp:wrapNone/>
              <wp:docPr id="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1556385" cy="44323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B">
    <w:pPr>
      <w:rPr/>
    </w:pPr>
    <w:r w:rsidDel="00000000" w:rsidR="00000000" w:rsidRPr="00000000">
      <w:rPr>
        <w:rtl w:val="0"/>
      </w:rPr>
      <w:t xml:space="preserve">Supplementary Material</w:t>
    </w:r>
  </w:p>
  <w:p w:rsidR="00000000" w:rsidDel="00000000" w:rsidP="00000000" w:rsidRDefault="00000000" w:rsidRPr="00000000" w14:paraId="0000028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D">
    <w:pPr>
      <w:rPr/>
    </w:pPr>
    <w:r w:rsidDel="00000000" w:rsidR="00000000" w:rsidRPr="00000000">
      <w:rPr>
        <w:b w:val="1"/>
        <w:color w:val="a6a6a6"/>
      </w:rPr>
      <w:drawing>
        <wp:inline distB="0" distT="0" distL="0" distR="0">
          <wp:extent cx="1534909" cy="551877"/>
          <wp:effectExtent b="0" l="0" r="0" t="0"/>
          <wp:docPr descr="C:\Users\Elaine.Scott\Documents\LaTex\____TEST____Frontiers_LaTeX_Templates_V2.5\Frontiers LaTeX (Science, Health and Engineering) V2.5 - with Supplementary material (V1.2)\logo1.jpg" id="5" name="image1.jpg"/>
          <a:graphic>
            <a:graphicData uri="http://schemas.openxmlformats.org/drawingml/2006/picture">
              <pic:pic>
                <pic:nvPicPr>
                  <pic:cNvPr descr="C:\Users\Elaine.Scott\Documents\LaTex\____TEST____Frontiers_LaTeX_Templates_V2.5\Frontiers LaTeX (Science, Health and Engineering) V2.5 - with Supplementary material (V1.2)\logo1.jpg" id="0" name="image1.jpg"/>
                  <pic:cNvPicPr preferRelativeResize="0"/>
                </pic:nvPicPr>
                <pic:blipFill>
                  <a:blip r:embed="rId1"/>
                  <a:srcRect b="0" l="0" r="0" t="0"/>
                  <a:stretch>
                    <a:fillRect/>
                  </a:stretch>
                </pic:blipFill>
                <pic:spPr>
                  <a:xfrm>
                    <a:off x="0" y="0"/>
                    <a:ext cx="1534909" cy="551877"/>
                  </a:xfrm>
                  <a:prstGeom prst="rect"/>
                  <a:ln/>
                </pic:spPr>
              </pic:pic>
            </a:graphicData>
          </a:graphic>
        </wp:inline>
      </w:drawing>
    </w:r>
    <w:r w:rsidDel="00000000" w:rsidR="00000000" w:rsidRPr="00000000">
      <w:rPr>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567" w:hanging="567"/>
      </w:pPr>
      <w:rPr/>
    </w:lvl>
    <w:lvl w:ilvl="1">
      <w:start w:val="1"/>
      <w:numFmt w:val="decimal"/>
      <w:lvlText w:val="%1.%2"/>
      <w:lvlJc w:val="left"/>
      <w:pPr>
        <w:ind w:left="567" w:hanging="567"/>
      </w:pPr>
      <w:rPr/>
    </w:lvl>
    <w:lvl w:ilvl="2">
      <w:start w:val="1"/>
      <w:numFmt w:val="decimal"/>
      <w:lvlText w:val="%1.%2.%3"/>
      <w:lvlJc w:val="left"/>
      <w:pPr>
        <w:ind w:left="567" w:hanging="567"/>
      </w:pPr>
      <w:rPr/>
    </w:lvl>
    <w:lvl w:ilvl="3">
      <w:start w:val="1"/>
      <w:numFmt w:val="decimal"/>
      <w:lvlText w:val="%1.%2.%3.%4"/>
      <w:lvlJc w:val="left"/>
      <w:pPr>
        <w:ind w:left="567" w:hanging="567"/>
      </w:pPr>
      <w:rPr/>
    </w:lvl>
    <w:lvl w:ilvl="4">
      <w:start w:val="1"/>
      <w:numFmt w:val="decimal"/>
      <w:lvlText w:val="%1.%2.%3.%4.%5"/>
      <w:lvlJc w:val="left"/>
      <w:pPr>
        <w:ind w:left="567" w:hanging="567"/>
      </w:pPr>
      <w:rPr/>
    </w:lvl>
    <w:lvl w:ilvl="5">
      <w:start w:val="1"/>
      <w:numFmt w:val="lowerRoman"/>
      <w:lvlText w:val="%6."/>
      <w:lvlJc w:val="right"/>
      <w:pPr>
        <w:ind w:left="567" w:hanging="567"/>
      </w:pPr>
      <w:rPr/>
    </w:lvl>
    <w:lvl w:ilvl="6">
      <w:start w:val="1"/>
      <w:numFmt w:val="decimal"/>
      <w:lvlText w:val="%7."/>
      <w:lvlJc w:val="left"/>
      <w:pPr>
        <w:ind w:left="567" w:hanging="567"/>
      </w:pPr>
      <w:rPr/>
    </w:lvl>
    <w:lvl w:ilvl="7">
      <w:start w:val="1"/>
      <w:numFmt w:val="lowerLetter"/>
      <w:lvlText w:val="%8."/>
      <w:lvlJc w:val="left"/>
      <w:pPr>
        <w:ind w:left="567" w:hanging="567"/>
      </w:pPr>
      <w:rPr/>
    </w:lvl>
    <w:lvl w:ilvl="8">
      <w:start w:val="1"/>
      <w:numFmt w:val="lowerRoman"/>
      <w:lvlText w:val="%9."/>
      <w:lvlJc w:val="right"/>
      <w:pPr>
        <w:ind w:left="567" w:hanging="567"/>
      </w:pPr>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after="240" w:before="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40" w:lineRule="auto"/>
      <w:ind w:left="567" w:hanging="567"/>
    </w:pPr>
    <w:rPr>
      <w:b w:val="1"/>
    </w:rPr>
  </w:style>
  <w:style w:type="paragraph" w:styleId="Heading2">
    <w:name w:val="heading 2"/>
    <w:basedOn w:val="Normal"/>
    <w:next w:val="Normal"/>
    <w:pPr>
      <w:spacing w:after="200" w:before="240" w:lineRule="auto"/>
      <w:ind w:left="567" w:hanging="567"/>
    </w:pPr>
    <w:rPr>
      <w:b w:val="1"/>
    </w:rPr>
  </w:style>
  <w:style w:type="paragraph" w:styleId="Heading3">
    <w:name w:val="heading 3"/>
    <w:basedOn w:val="Normal"/>
    <w:next w:val="Normal"/>
    <w:pPr>
      <w:keepNext w:val="1"/>
      <w:keepLines w:val="1"/>
      <w:spacing w:after="120" w:before="40" w:lineRule="auto"/>
      <w:ind w:left="567" w:hanging="567"/>
    </w:pPr>
    <w:rPr>
      <w:b w:val="1"/>
    </w:rPr>
  </w:style>
  <w:style w:type="paragraph" w:styleId="Heading4">
    <w:name w:val="heading 4"/>
    <w:basedOn w:val="Normal"/>
    <w:next w:val="Normal"/>
    <w:pPr>
      <w:keepNext w:val="1"/>
      <w:keepLines w:val="1"/>
      <w:spacing w:after="120" w:before="40" w:lineRule="auto"/>
      <w:ind w:left="567" w:hanging="567"/>
    </w:pPr>
    <w:rPr>
      <w:b w:val="1"/>
    </w:rPr>
  </w:style>
  <w:style w:type="paragraph" w:styleId="Heading5">
    <w:name w:val="heading 5"/>
    <w:basedOn w:val="Normal"/>
    <w:next w:val="Normal"/>
    <w:pPr>
      <w:keepNext w:val="1"/>
      <w:keepLines w:val="1"/>
      <w:spacing w:after="120" w:before="40" w:lineRule="auto"/>
      <w:ind w:left="567" w:hanging="567"/>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60" w:before="240" w:lineRule="auto"/>
      <w:jc w:val="center"/>
    </w:pPr>
    <w:rPr>
      <w:b w:val="1"/>
      <w:sz w:val="32"/>
      <w:szCs w:val="32"/>
    </w:rPr>
  </w:style>
  <w:style w:type="paragraph" w:styleId="Subtitle">
    <w:name w:val="Subtitle"/>
    <w:basedOn w:val="Normal"/>
    <w:next w:val="Normal"/>
    <w:pPr>
      <w:spacing w:before="240" w:lineRule="auto"/>
    </w:pPr>
    <w:rPr>
      <w:b w:val="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letizia.polito@roche.com" TargetMode="External"/><Relationship Id="rId7" Type="http://schemas.openxmlformats.org/officeDocument/2006/relationships/image" Target="media/image2.pn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