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19443" w14:textId="2F11F4C2" w:rsidR="00994A3D" w:rsidRDefault="00654E8F" w:rsidP="0027591F">
      <w:pPr>
        <w:pStyle w:val="SupplementaryMaterial"/>
      </w:pPr>
      <w:r w:rsidRPr="001549D3">
        <w:t xml:space="preserve">Supplementary </w:t>
      </w:r>
      <w:r w:rsidR="006C7058">
        <w:t>Information</w:t>
      </w:r>
    </w:p>
    <w:p w14:paraId="2834B9B0" w14:textId="77777777" w:rsidR="006C7058" w:rsidRPr="0094259F" w:rsidRDefault="006C7058" w:rsidP="006C7058">
      <w:pPr>
        <w:pStyle w:val="Title"/>
      </w:pPr>
      <w:r w:rsidRPr="00376CC5">
        <w:t>A</w:t>
      </w:r>
      <w:r>
        <w:t>n Electronically Conductive 3D Architecture with Controlled Porosity for LiFePO</w:t>
      </w:r>
      <w:r>
        <w:rPr>
          <w:vertAlign w:val="subscript"/>
        </w:rPr>
        <w:t>4</w:t>
      </w:r>
      <w:r>
        <w:t xml:space="preserve"> Cathodes</w:t>
      </w:r>
    </w:p>
    <w:p w14:paraId="09C44AAA" w14:textId="77777777" w:rsidR="006C7058" w:rsidRPr="00376CC5" w:rsidRDefault="006C7058" w:rsidP="006C7058">
      <w:pPr>
        <w:pStyle w:val="AuthorList"/>
      </w:pPr>
      <w:r>
        <w:t>Martin Nguyen</w:t>
      </w:r>
      <w:r w:rsidRPr="00A545C6">
        <w:rPr>
          <w:vertAlign w:val="superscript"/>
        </w:rPr>
        <w:t>1</w:t>
      </w:r>
      <w:r w:rsidRPr="00376CC5">
        <w:t xml:space="preserve">, </w:t>
      </w:r>
      <w:r>
        <w:t>Zhiming Liang</w:t>
      </w:r>
      <w:r>
        <w:rPr>
          <w:vertAlign w:val="superscript"/>
        </w:rPr>
        <w:t>1</w:t>
      </w:r>
      <w:r>
        <w:t>, Kaitlin Garman</w:t>
      </w:r>
      <w:r>
        <w:rPr>
          <w:vertAlign w:val="superscript"/>
        </w:rPr>
        <w:t>1</w:t>
      </w:r>
      <w:r>
        <w:t>, Yangyang Wang</w:t>
      </w:r>
      <w:r>
        <w:rPr>
          <w:vertAlign w:val="superscript"/>
        </w:rPr>
        <w:t>1</w:t>
      </w:r>
      <w:r>
        <w:t>, Adrian Gestos</w:t>
      </w:r>
      <w:r>
        <w:rPr>
          <w:vertAlign w:val="superscript"/>
        </w:rPr>
        <w:t>1</w:t>
      </w:r>
      <w:r>
        <w:t>, Michael Mo</w:t>
      </w:r>
      <w:r>
        <w:rPr>
          <w:vertAlign w:val="superscript"/>
        </w:rPr>
        <w:t>2</w:t>
      </w:r>
      <w:r>
        <w:t>, Chunmei Ban</w:t>
      </w:r>
      <w:r>
        <w:rPr>
          <w:vertAlign w:val="superscript"/>
        </w:rPr>
        <w:t>1, 3</w:t>
      </w:r>
      <w:r w:rsidRPr="00A545C6">
        <w:rPr>
          <w:vertAlign w:val="superscript"/>
        </w:rPr>
        <w:t>*</w:t>
      </w:r>
    </w:p>
    <w:p w14:paraId="4A71184D" w14:textId="77777777" w:rsidR="006C7058" w:rsidRDefault="006C7058" w:rsidP="006C7058">
      <w:pPr>
        <w:spacing w:before="240" w:after="0"/>
        <w:rPr>
          <w:rFonts w:cs="Times New Roman"/>
          <w:szCs w:val="24"/>
        </w:rPr>
      </w:pPr>
      <w:r w:rsidRPr="00376CC5">
        <w:rPr>
          <w:rFonts w:cs="Times New Roman"/>
          <w:szCs w:val="24"/>
          <w:vertAlign w:val="superscript"/>
        </w:rPr>
        <w:t>1</w:t>
      </w:r>
      <w:r>
        <w:rPr>
          <w:rFonts w:cs="Times New Roman"/>
          <w:szCs w:val="24"/>
        </w:rPr>
        <w:t>Paul M Rady Department of Mechanical Engineering</w:t>
      </w:r>
      <w:r w:rsidRPr="00376CC5">
        <w:rPr>
          <w:rFonts w:cs="Times New Roman"/>
          <w:szCs w:val="24"/>
        </w:rPr>
        <w:t xml:space="preserve">, </w:t>
      </w:r>
      <w:r>
        <w:rPr>
          <w:rFonts w:cs="Times New Roman"/>
          <w:szCs w:val="24"/>
        </w:rPr>
        <w:t>University of Colorado Boulder</w:t>
      </w:r>
      <w:r w:rsidRPr="00376CC5">
        <w:rPr>
          <w:rFonts w:cs="Times New Roman"/>
          <w:szCs w:val="24"/>
        </w:rPr>
        <w:t xml:space="preserve">, </w:t>
      </w:r>
      <w:r>
        <w:rPr>
          <w:rFonts w:cs="Times New Roman"/>
          <w:szCs w:val="24"/>
        </w:rPr>
        <w:t>Boulder</w:t>
      </w:r>
      <w:r w:rsidRPr="00376CC5">
        <w:rPr>
          <w:rFonts w:cs="Times New Roman"/>
          <w:szCs w:val="24"/>
        </w:rPr>
        <w:t xml:space="preserve">, </w:t>
      </w:r>
      <w:r>
        <w:rPr>
          <w:rFonts w:cs="Times New Roman"/>
          <w:szCs w:val="24"/>
        </w:rPr>
        <w:t>CO</w:t>
      </w:r>
      <w:r w:rsidRPr="00376CC5">
        <w:rPr>
          <w:rFonts w:cs="Times New Roman"/>
          <w:szCs w:val="24"/>
        </w:rPr>
        <w:t xml:space="preserve">, </w:t>
      </w:r>
      <w:r>
        <w:rPr>
          <w:rFonts w:cs="Times New Roman"/>
          <w:szCs w:val="24"/>
        </w:rPr>
        <w:t>USA</w:t>
      </w:r>
    </w:p>
    <w:p w14:paraId="6FBE12D1" w14:textId="77777777" w:rsidR="006C7058" w:rsidRPr="00376CC5" w:rsidRDefault="006C7058" w:rsidP="006C7058">
      <w:pPr>
        <w:spacing w:before="240" w:after="0"/>
        <w:rPr>
          <w:rFonts w:cs="Times New Roman"/>
          <w:b/>
          <w:szCs w:val="24"/>
        </w:rPr>
      </w:pPr>
      <w:r>
        <w:rPr>
          <w:rFonts w:cs="Times New Roman"/>
          <w:szCs w:val="24"/>
          <w:vertAlign w:val="superscript"/>
        </w:rPr>
        <w:t>2</w:t>
      </w:r>
      <w:r>
        <w:rPr>
          <w:rFonts w:cs="Times New Roman"/>
          <w:szCs w:val="24"/>
        </w:rPr>
        <w:t xml:space="preserve">KULR Technology Group, Inc, San Diego, CA, USA </w:t>
      </w:r>
    </w:p>
    <w:p w14:paraId="69E4DBC0" w14:textId="77777777" w:rsidR="006C7058" w:rsidRDefault="006C7058" w:rsidP="006C7058">
      <w:pPr>
        <w:spacing w:before="240" w:after="0"/>
        <w:rPr>
          <w:rFonts w:cs="Times New Roman"/>
          <w:szCs w:val="24"/>
        </w:rPr>
      </w:pPr>
      <w:r>
        <w:rPr>
          <w:rFonts w:cs="Times New Roman"/>
          <w:szCs w:val="24"/>
          <w:vertAlign w:val="superscript"/>
        </w:rPr>
        <w:t>3</w:t>
      </w:r>
      <w:r>
        <w:rPr>
          <w:rFonts w:cs="Times New Roman"/>
          <w:szCs w:val="24"/>
        </w:rPr>
        <w:t>Materials Science and Engineering Program</w:t>
      </w:r>
      <w:r w:rsidRPr="00376CC5">
        <w:rPr>
          <w:rFonts w:cs="Times New Roman"/>
          <w:szCs w:val="24"/>
        </w:rPr>
        <w:t xml:space="preserve">, </w:t>
      </w:r>
      <w:r>
        <w:rPr>
          <w:rFonts w:cs="Times New Roman"/>
          <w:szCs w:val="24"/>
        </w:rPr>
        <w:t>College of Applied Sciences and Engineering University of Colorado Boulder</w:t>
      </w:r>
      <w:r w:rsidRPr="00376CC5">
        <w:rPr>
          <w:rFonts w:cs="Times New Roman"/>
          <w:szCs w:val="24"/>
        </w:rPr>
        <w:t xml:space="preserve">, </w:t>
      </w:r>
      <w:r>
        <w:rPr>
          <w:rFonts w:cs="Times New Roman"/>
          <w:szCs w:val="24"/>
        </w:rPr>
        <w:t>Boulder</w:t>
      </w:r>
      <w:r w:rsidRPr="00376CC5">
        <w:rPr>
          <w:rFonts w:cs="Times New Roman"/>
          <w:szCs w:val="24"/>
        </w:rPr>
        <w:t xml:space="preserve">, </w:t>
      </w:r>
      <w:r>
        <w:rPr>
          <w:rFonts w:cs="Times New Roman"/>
          <w:szCs w:val="24"/>
        </w:rPr>
        <w:t>CO</w:t>
      </w:r>
      <w:r w:rsidRPr="00376CC5">
        <w:rPr>
          <w:rFonts w:cs="Times New Roman"/>
          <w:szCs w:val="24"/>
        </w:rPr>
        <w:t xml:space="preserve">, </w:t>
      </w:r>
      <w:r>
        <w:rPr>
          <w:rFonts w:cs="Times New Roman"/>
          <w:szCs w:val="24"/>
        </w:rPr>
        <w:t>USA</w:t>
      </w:r>
    </w:p>
    <w:p w14:paraId="0BCF5076" w14:textId="77777777" w:rsidR="006C7058" w:rsidRPr="00376CC5" w:rsidRDefault="006C7058" w:rsidP="006C7058">
      <w:pPr>
        <w:spacing w:before="240" w:after="0"/>
        <w:rPr>
          <w:rFonts w:cs="Times New Roman"/>
          <w:b/>
          <w:szCs w:val="24"/>
        </w:rPr>
      </w:pPr>
      <w:r w:rsidRPr="00376CC5">
        <w:rPr>
          <w:rFonts w:cs="Times New Roman"/>
          <w:b/>
          <w:szCs w:val="24"/>
        </w:rPr>
        <w:t xml:space="preserve">* Correspondence: </w:t>
      </w:r>
      <w:r w:rsidRPr="00376CC5">
        <w:rPr>
          <w:rFonts w:cs="Times New Roman"/>
          <w:b/>
          <w:szCs w:val="24"/>
        </w:rPr>
        <w:br/>
      </w:r>
      <w:r>
        <w:rPr>
          <w:rFonts w:cs="Times New Roman"/>
          <w:szCs w:val="24"/>
        </w:rPr>
        <w:t>Chunmei Ban</w:t>
      </w:r>
      <w:r w:rsidRPr="00A545C6">
        <w:rPr>
          <w:vertAlign w:val="superscript"/>
        </w:rPr>
        <w:t>*</w:t>
      </w:r>
      <w:r w:rsidRPr="00376CC5">
        <w:rPr>
          <w:rFonts w:cs="Times New Roman"/>
          <w:szCs w:val="24"/>
        </w:rPr>
        <w:br/>
      </w:r>
      <w:r>
        <w:rPr>
          <w:rFonts w:cs="Times New Roman"/>
          <w:szCs w:val="24"/>
        </w:rPr>
        <w:t>Chunmei.Ban@colorado.edu</w:t>
      </w:r>
    </w:p>
    <w:p w14:paraId="72092C37" w14:textId="3A2FD724" w:rsidR="00AE4A63" w:rsidRDefault="005326C5" w:rsidP="00AE4A63">
      <w:pPr>
        <w:keepNext/>
        <w:jc w:val="center"/>
        <w:rPr>
          <w:rFonts w:cs="Times New Roman"/>
          <w:b/>
          <w:szCs w:val="24"/>
        </w:rPr>
      </w:pPr>
      <w:r w:rsidRPr="005326C5">
        <w:rPr>
          <w:rFonts w:cs="Times New Roman"/>
          <w:b/>
          <w:noProof/>
          <w:szCs w:val="24"/>
        </w:rPr>
        <w:lastRenderedPageBreak/>
        <w:drawing>
          <wp:inline distT="0" distB="0" distL="0" distR="0" wp14:anchorId="585D4E14" wp14:editId="77535840">
            <wp:extent cx="6208395" cy="4751705"/>
            <wp:effectExtent l="0" t="0" r="0" b="0"/>
            <wp:docPr id="309174790" name="Picture 1" descr="A black backgroun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74790" name="Picture 1" descr="A black background with red lines&#10;&#10;Description automatically generated"/>
                    <pic:cNvPicPr/>
                  </pic:nvPicPr>
                  <pic:blipFill>
                    <a:blip r:embed="rId8"/>
                    <a:stretch>
                      <a:fillRect/>
                    </a:stretch>
                  </pic:blipFill>
                  <pic:spPr>
                    <a:xfrm>
                      <a:off x="0" y="0"/>
                      <a:ext cx="6208395" cy="4751705"/>
                    </a:xfrm>
                    <a:prstGeom prst="rect">
                      <a:avLst/>
                    </a:prstGeom>
                  </pic:spPr>
                </pic:pic>
              </a:graphicData>
            </a:graphic>
          </wp:inline>
        </w:drawing>
      </w:r>
    </w:p>
    <w:p w14:paraId="64F22C9E" w14:textId="3556A5E9" w:rsidR="00AE4A63" w:rsidRDefault="00AE4A63" w:rsidP="00AE4A63">
      <w:pPr>
        <w:keepNext/>
        <w:jc w:val="both"/>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t>XRD pattern of the CF-LFP cathode with 7:2:1 wt.% of LFP:CB:PVDF, indexed to LFP</w:t>
      </w:r>
      <w:r w:rsidR="000A5726">
        <w:t xml:space="preserve"> (</w:t>
      </w:r>
      <w:r w:rsidR="00F81DE6">
        <w:t>PDF#81-1173)</w:t>
      </w:r>
      <w:r>
        <w:t>. No peak shifts observed confirms that no reaction occurs with LFP and CF architecture after electrode fabrication.</w:t>
      </w:r>
    </w:p>
    <w:p w14:paraId="39A6A64E" w14:textId="77777777" w:rsidR="00AE4A63" w:rsidRDefault="00AE4A63" w:rsidP="00AE4A63">
      <w:pPr>
        <w:spacing w:before="0" w:after="200" w:line="276" w:lineRule="auto"/>
      </w:pPr>
      <w:r>
        <w:br w:type="page"/>
      </w:r>
    </w:p>
    <w:p w14:paraId="4946D04F" w14:textId="77777777" w:rsidR="00AE4A63" w:rsidRDefault="00AE4A63" w:rsidP="00AE4A63">
      <w:pPr>
        <w:keepNext/>
        <w:jc w:val="center"/>
      </w:pPr>
      <w:r>
        <w:rPr>
          <w:noProof/>
        </w:rPr>
        <w:lastRenderedPageBreak/>
        <w:drawing>
          <wp:inline distT="0" distB="0" distL="0" distR="0" wp14:anchorId="116D4EE0" wp14:editId="2977996E">
            <wp:extent cx="6211693" cy="2083000"/>
            <wp:effectExtent l="0" t="0" r="0" b="0"/>
            <wp:docPr id="507483483" name="Picture 507483483" descr="A collage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83483" name="Picture 507483483" descr="A collage of different colored squar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9909" cy="2095815"/>
                    </a:xfrm>
                    <a:prstGeom prst="rect">
                      <a:avLst/>
                    </a:prstGeom>
                    <a:noFill/>
                  </pic:spPr>
                </pic:pic>
              </a:graphicData>
            </a:graphic>
          </wp:inline>
        </w:drawing>
      </w:r>
    </w:p>
    <w:p w14:paraId="3CB23599" w14:textId="77777777" w:rsidR="00AE4A63" w:rsidRPr="00DC3556" w:rsidRDefault="00AE4A63" w:rsidP="00AE4A63">
      <w:pPr>
        <w:keepNext/>
        <w:jc w:val="both"/>
        <w:rPr>
          <w:b/>
          <w:bCs/>
        </w:rPr>
      </w:pPr>
      <w:r>
        <w:rPr>
          <w:b/>
          <w:bCs/>
        </w:rPr>
        <w:t xml:space="preserve">Supplementary Figure 2. </w:t>
      </w:r>
      <w:r>
        <w:t xml:space="preserve">EDS elemental mapping (C, O, F, P, Fe) of the CF-LFP and slurry cast cathodes. EDS elemental mapping shows no Fe deposited on the Li-metal anode for both (top) CF-LFP and (bottom) slurry cast half-cells. </w:t>
      </w:r>
    </w:p>
    <w:p w14:paraId="1BBF12B0" w14:textId="77777777" w:rsidR="00AE4A63" w:rsidRDefault="00AE4A63" w:rsidP="00AE4A63">
      <w:pPr>
        <w:keepNext/>
        <w:jc w:val="both"/>
        <w:rPr>
          <w:b/>
          <w:bCs/>
        </w:rPr>
      </w:pPr>
      <w:r>
        <w:rPr>
          <w:b/>
          <w:bCs/>
          <w:noProof/>
        </w:rPr>
        <w:drawing>
          <wp:inline distT="0" distB="0" distL="0" distR="0" wp14:anchorId="6C45D152" wp14:editId="4D7C381D">
            <wp:extent cx="6401615" cy="2093842"/>
            <wp:effectExtent l="0" t="0" r="0" b="1905"/>
            <wp:docPr id="1452232204" name="Picture 1452232204" descr="A close-up of a piece of concre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32204" name="Picture 1452232204" descr="A close-up of a piece of concre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4854" cy="2101443"/>
                    </a:xfrm>
                    <a:prstGeom prst="rect">
                      <a:avLst/>
                    </a:prstGeom>
                    <a:noFill/>
                  </pic:spPr>
                </pic:pic>
              </a:graphicData>
            </a:graphic>
          </wp:inline>
        </w:drawing>
      </w:r>
    </w:p>
    <w:p w14:paraId="0C3CB731" w14:textId="77777777" w:rsidR="00AE4A63" w:rsidRDefault="00AE4A63" w:rsidP="00AE4A63">
      <w:pPr>
        <w:jc w:val="both"/>
      </w:pPr>
      <w:r>
        <w:rPr>
          <w:b/>
          <w:bCs/>
        </w:rPr>
        <w:t xml:space="preserve">Supplementary Figure 3. </w:t>
      </w:r>
      <w:r w:rsidRPr="00B959E1">
        <w:t xml:space="preserve">XRCT scans of the cycled slurry cast </w:t>
      </w:r>
      <w:r>
        <w:t>LFP cathode</w:t>
      </w:r>
      <w:r w:rsidRPr="00B959E1">
        <w:t xml:space="preserve">. The a) 3D reconstructed image and b,c) </w:t>
      </w:r>
      <w:r>
        <w:t xml:space="preserve">two representative </w:t>
      </w:r>
      <w:r w:rsidRPr="00B959E1">
        <w:t>slices within the bulk show</w:t>
      </w:r>
      <w:r>
        <w:t>s</w:t>
      </w:r>
      <w:r w:rsidRPr="00B959E1">
        <w:t xml:space="preserve"> major cracking within the thick slurry cast electrode.</w:t>
      </w:r>
    </w:p>
    <w:p w14:paraId="104C90B2" w14:textId="77777777" w:rsidR="00AE4A63" w:rsidRDefault="00AE4A63" w:rsidP="00AE4A63">
      <w:pPr>
        <w:jc w:val="both"/>
      </w:pPr>
    </w:p>
    <w:p w14:paraId="6457B17D" w14:textId="77777777" w:rsidR="00AE4A63" w:rsidRDefault="00AE4A63" w:rsidP="00AE4A63">
      <w:pPr>
        <w:jc w:val="center"/>
        <w:rPr>
          <w:b/>
          <w:bCs/>
        </w:rPr>
      </w:pPr>
      <w:r w:rsidRPr="00BC2F30">
        <w:rPr>
          <w:b/>
          <w:bCs/>
          <w:noProof/>
        </w:rPr>
        <w:lastRenderedPageBreak/>
        <w:drawing>
          <wp:inline distT="0" distB="0" distL="0" distR="0" wp14:anchorId="31819E28" wp14:editId="549D3467">
            <wp:extent cx="5633243" cy="3612623"/>
            <wp:effectExtent l="0" t="0" r="5715" b="6985"/>
            <wp:docPr id="356176094" name="Picture 356176094" descr="A close-up of a rock&#10;&#10;Description automatically generated with low confidence">
              <a:extLst xmlns:a="http://schemas.openxmlformats.org/drawingml/2006/main">
                <a:ext uri="{FF2B5EF4-FFF2-40B4-BE49-F238E27FC236}">
                  <a16:creationId xmlns:a16="http://schemas.microsoft.com/office/drawing/2014/main" id="{60F35DFE-16EA-6AC8-A182-61458B4B62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rock&#10;&#10;Description automatically generated with low confidence">
                      <a:extLst>
                        <a:ext uri="{FF2B5EF4-FFF2-40B4-BE49-F238E27FC236}">
                          <a16:creationId xmlns:a16="http://schemas.microsoft.com/office/drawing/2014/main" id="{60F35DFE-16EA-6AC8-A182-61458B4B626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633243" cy="3612623"/>
                    </a:xfrm>
                    <a:prstGeom prst="rect">
                      <a:avLst/>
                    </a:prstGeom>
                  </pic:spPr>
                </pic:pic>
              </a:graphicData>
            </a:graphic>
          </wp:inline>
        </w:drawing>
      </w:r>
    </w:p>
    <w:p w14:paraId="1340E46D" w14:textId="77777777" w:rsidR="00AE4A63" w:rsidRDefault="00AE4A63" w:rsidP="00AE4A63">
      <w:pPr>
        <w:jc w:val="both"/>
      </w:pPr>
      <w:r>
        <w:rPr>
          <w:b/>
          <w:bCs/>
        </w:rPr>
        <w:t xml:space="preserve">Supplementary Figure 4. </w:t>
      </w:r>
      <w:r>
        <w:t>XRCT scan of the cycled CF-LFP cathode. No major cracking is observed and looks similar to the pristine CF-LFP cathode from Figure 4 in the main text.</w:t>
      </w:r>
    </w:p>
    <w:p w14:paraId="3B87DF2C" w14:textId="77777777" w:rsidR="00AE4A63" w:rsidRDefault="00AE4A63" w:rsidP="00AE4A63">
      <w:pPr>
        <w:jc w:val="both"/>
      </w:pPr>
    </w:p>
    <w:p w14:paraId="66896FF3" w14:textId="77777777" w:rsidR="00AE4A63" w:rsidRDefault="00AE4A63" w:rsidP="00AE4A63">
      <w:pPr>
        <w:jc w:val="center"/>
        <w:rPr>
          <w:b/>
          <w:bCs/>
        </w:rPr>
      </w:pPr>
      <w:r>
        <w:rPr>
          <w:b/>
          <w:bCs/>
          <w:noProof/>
        </w:rPr>
        <w:drawing>
          <wp:inline distT="0" distB="0" distL="0" distR="0" wp14:anchorId="2DF04563" wp14:editId="75A2A501">
            <wp:extent cx="4411980" cy="2952355"/>
            <wp:effectExtent l="0" t="0" r="7620" b="635"/>
            <wp:docPr id="869338294" name="Picture 869338294"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38294" name="Picture 869338294" descr="A diagram of a circui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8877" cy="2956970"/>
                    </a:xfrm>
                    <a:prstGeom prst="rect">
                      <a:avLst/>
                    </a:prstGeom>
                    <a:noFill/>
                  </pic:spPr>
                </pic:pic>
              </a:graphicData>
            </a:graphic>
          </wp:inline>
        </w:drawing>
      </w:r>
    </w:p>
    <w:p w14:paraId="4198BCBB" w14:textId="77777777" w:rsidR="00AE4A63" w:rsidRPr="00980F3C" w:rsidRDefault="00AE4A63" w:rsidP="00AE4A63">
      <w:pPr>
        <w:jc w:val="both"/>
        <w:rPr>
          <w:color w:val="FF0000"/>
        </w:rPr>
      </w:pPr>
      <w:r>
        <w:rPr>
          <w:b/>
          <w:bCs/>
        </w:rPr>
        <w:t xml:space="preserve">Supplementary Figure 5. </w:t>
      </w:r>
      <w:r>
        <w:t xml:space="preserve">Equivalent circuit of the transmission line model. </w:t>
      </w:r>
      <w:r>
        <w:rPr>
          <w:rFonts w:eastAsiaTheme="minorEastAsia"/>
        </w:rPr>
        <w:t xml:space="preserve">In the CF-LFP cathode, </w:t>
      </w:r>
      <m:oMath>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Ω</m:t>
            </m:r>
          </m:sub>
        </m:sSub>
      </m:oMath>
      <w:r>
        <w:rPr>
          <w:rFonts w:eastAsiaTheme="minorEastAsia"/>
        </w:rPr>
        <w:t xml:space="preserve"> is the bulk resistance of the electrolyte, </w:t>
      </w:r>
      <m:oMath>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ion</m:t>
            </m:r>
          </m:sub>
        </m:sSub>
      </m:oMath>
      <w:r>
        <w:rPr>
          <w:rFonts w:eastAsiaTheme="minorEastAsia"/>
        </w:rPr>
        <w:t xml:space="preserve"> is the resistance of ion mobility in the pores, and </w:t>
      </w:r>
      <m:oMath>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ct</m:t>
            </m:r>
          </m:sub>
        </m:sSub>
      </m:oMath>
      <w:r>
        <w:rPr>
          <w:rFonts w:eastAsiaTheme="minorEastAsia"/>
        </w:rPr>
        <w:t xml:space="preserve"> is the charge transfer resistance.</w:t>
      </w:r>
    </w:p>
    <w:p w14:paraId="1B8D2AA7" w14:textId="51EF6DD1" w:rsidR="00AE4A63" w:rsidRDefault="00A40DAE" w:rsidP="00AE4A63">
      <w:pPr>
        <w:keepNext/>
        <w:jc w:val="both"/>
        <w:rPr>
          <w:rFonts w:cs="Times New Roman"/>
          <w:szCs w:val="24"/>
        </w:rPr>
      </w:pPr>
      <w:r w:rsidRPr="00A40DAE">
        <w:rPr>
          <w:rFonts w:cs="Times New Roman"/>
          <w:noProof/>
          <w:szCs w:val="24"/>
        </w:rPr>
        <w:lastRenderedPageBreak/>
        <w:drawing>
          <wp:inline distT="0" distB="0" distL="0" distR="0" wp14:anchorId="6954CA28" wp14:editId="71734126">
            <wp:extent cx="6208395" cy="4751705"/>
            <wp:effectExtent l="0" t="0" r="0" b="0"/>
            <wp:docPr id="1520683515" name="Picture 1" descr="A graph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83515" name="Picture 1" descr="A graph on a black background&#10;&#10;Description automatically generated"/>
                    <pic:cNvPicPr/>
                  </pic:nvPicPr>
                  <pic:blipFill>
                    <a:blip r:embed="rId13"/>
                    <a:stretch>
                      <a:fillRect/>
                    </a:stretch>
                  </pic:blipFill>
                  <pic:spPr>
                    <a:xfrm>
                      <a:off x="0" y="0"/>
                      <a:ext cx="6208395" cy="4751705"/>
                    </a:xfrm>
                    <a:prstGeom prst="rect">
                      <a:avLst/>
                    </a:prstGeom>
                  </pic:spPr>
                </pic:pic>
              </a:graphicData>
            </a:graphic>
          </wp:inline>
        </w:drawing>
      </w:r>
    </w:p>
    <w:p w14:paraId="11A9FE8B" w14:textId="77777777" w:rsidR="00AE4A63" w:rsidRPr="00E7261C" w:rsidRDefault="00AE4A63" w:rsidP="00AE4A63">
      <w:pPr>
        <w:keepNext/>
        <w:jc w:val="both"/>
      </w:pPr>
      <w:r w:rsidRPr="00AF4DF8">
        <w:rPr>
          <w:b/>
          <w:bCs/>
        </w:rPr>
        <w:t xml:space="preserve">Supplementary Figure 6. </w:t>
      </w:r>
      <w:r w:rsidRPr="00AF4DF8">
        <w:t>Gravimetric capacity rate capability performance of the CF-LFP and slurry cast cathodes in a half cell configuration.</w:t>
      </w:r>
    </w:p>
    <w:p w14:paraId="4196E4FA" w14:textId="2FA16E08" w:rsidR="00AE4A63" w:rsidRDefault="00300A5C" w:rsidP="00AE4A63">
      <w:pPr>
        <w:keepNext/>
        <w:jc w:val="center"/>
        <w:rPr>
          <w:b/>
          <w:bCs/>
        </w:rPr>
      </w:pPr>
      <w:r w:rsidRPr="00300A5C">
        <w:rPr>
          <w:b/>
          <w:bCs/>
          <w:noProof/>
        </w:rPr>
        <w:lastRenderedPageBreak/>
        <w:drawing>
          <wp:inline distT="0" distB="0" distL="0" distR="0" wp14:anchorId="5F06E8D2" wp14:editId="44665F8A">
            <wp:extent cx="4281077" cy="3276600"/>
            <wp:effectExtent l="0" t="0" r="0" b="0"/>
            <wp:docPr id="1693295529" name="Picture 1" descr="A red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95529" name="Picture 1" descr="A red line on a black background&#10;&#10;Description automatically generated"/>
                    <pic:cNvPicPr/>
                  </pic:nvPicPr>
                  <pic:blipFill>
                    <a:blip r:embed="rId14"/>
                    <a:stretch>
                      <a:fillRect/>
                    </a:stretch>
                  </pic:blipFill>
                  <pic:spPr>
                    <a:xfrm>
                      <a:off x="0" y="0"/>
                      <a:ext cx="4311778" cy="3300097"/>
                    </a:xfrm>
                    <a:prstGeom prst="rect">
                      <a:avLst/>
                    </a:prstGeom>
                  </pic:spPr>
                </pic:pic>
              </a:graphicData>
            </a:graphic>
          </wp:inline>
        </w:drawing>
      </w:r>
    </w:p>
    <w:p w14:paraId="54DB136D" w14:textId="77777777" w:rsidR="00AE4A63" w:rsidRDefault="00AE4A63" w:rsidP="00AE4A63">
      <w:pPr>
        <w:keepNext/>
        <w:jc w:val="both"/>
      </w:pPr>
      <w:r>
        <w:rPr>
          <w:b/>
          <w:bCs/>
        </w:rPr>
        <w:t xml:space="preserve">Supplementary Figure 7. </w:t>
      </w:r>
      <w:r w:rsidRPr="004D3BC6">
        <w:t>Areal capacity</w:t>
      </w:r>
      <w:r>
        <w:rPr>
          <w:b/>
          <w:bCs/>
        </w:rPr>
        <w:t xml:space="preserve"> </w:t>
      </w:r>
      <w:r>
        <w:t>cycling performance of the CF-LFP and slurry cast cathodes in a half cell configuration for 100 cycles at a current density of C/3.</w:t>
      </w:r>
    </w:p>
    <w:p w14:paraId="738516CF" w14:textId="7DC803C8" w:rsidR="00AE4A63" w:rsidRDefault="00213943" w:rsidP="00AE4A63">
      <w:pPr>
        <w:keepNext/>
        <w:jc w:val="center"/>
      </w:pPr>
      <w:r w:rsidRPr="00213943">
        <w:rPr>
          <w:noProof/>
        </w:rPr>
        <w:drawing>
          <wp:inline distT="0" distB="0" distL="0" distR="0" wp14:anchorId="7D460D02" wp14:editId="3AD707C2">
            <wp:extent cx="4228144" cy="3236187"/>
            <wp:effectExtent l="0" t="0" r="1270" b="2540"/>
            <wp:docPr id="818440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40236" name="Picture 1"/>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4228144" cy="3236187"/>
                    </a:xfrm>
                    <a:prstGeom prst="rect">
                      <a:avLst/>
                    </a:prstGeom>
                  </pic:spPr>
                </pic:pic>
              </a:graphicData>
            </a:graphic>
          </wp:inline>
        </w:drawing>
      </w:r>
    </w:p>
    <w:p w14:paraId="53C8F7B6" w14:textId="77777777" w:rsidR="00AE4A63" w:rsidRDefault="00AE4A63" w:rsidP="00AE4A63">
      <w:pPr>
        <w:keepNext/>
        <w:jc w:val="both"/>
      </w:pPr>
      <w:r w:rsidRPr="00AF4DF8">
        <w:rPr>
          <w:b/>
          <w:bCs/>
        </w:rPr>
        <w:t xml:space="preserve">Supplementary Figure 8. </w:t>
      </w:r>
      <w:r w:rsidRPr="00AF4DF8">
        <w:t>Gravimetric capacity cycling performance of the CF-LFP and slurry cast cathodes in a half cell configuration.</w:t>
      </w:r>
    </w:p>
    <w:p w14:paraId="692ACD3D" w14:textId="77777777" w:rsidR="0061244A" w:rsidRDefault="0061244A" w:rsidP="0061244A">
      <w:pPr>
        <w:jc w:val="center"/>
        <w:rPr>
          <w:rFonts w:cs="Times New Roman"/>
          <w:color w:val="4F81BD" w:themeColor="accent1"/>
          <w:szCs w:val="24"/>
        </w:rPr>
      </w:pPr>
    </w:p>
    <w:p w14:paraId="18C5B174" w14:textId="77777777" w:rsidR="00300A5C" w:rsidRDefault="00300A5C" w:rsidP="0061244A">
      <w:pPr>
        <w:jc w:val="center"/>
        <w:rPr>
          <w:rFonts w:cs="Times New Roman"/>
          <w:szCs w:val="24"/>
          <w:highlight w:val="yellow"/>
        </w:rPr>
      </w:pPr>
    </w:p>
    <w:p w14:paraId="73236B19" w14:textId="266C0342" w:rsidR="0061244A" w:rsidRPr="00AF4DF8" w:rsidRDefault="0061244A" w:rsidP="0061244A">
      <w:pPr>
        <w:jc w:val="center"/>
        <w:rPr>
          <w:rFonts w:cs="Times New Roman"/>
          <w:szCs w:val="24"/>
        </w:rPr>
      </w:pPr>
      <w:r w:rsidRPr="00AF4DF8">
        <w:rPr>
          <w:rFonts w:cs="Times New Roman"/>
          <w:szCs w:val="24"/>
        </w:rPr>
        <w:lastRenderedPageBreak/>
        <w:t>TABLE I. Thick Electrode State of Art</w:t>
      </w:r>
    </w:p>
    <w:tbl>
      <w:tblPr>
        <w:tblStyle w:val="TableGrid"/>
        <w:tblW w:w="0" w:type="auto"/>
        <w:tblLook w:val="04A0" w:firstRow="1" w:lastRow="0" w:firstColumn="1" w:lastColumn="0" w:noHBand="0" w:noVBand="1"/>
      </w:tblPr>
      <w:tblGrid>
        <w:gridCol w:w="1328"/>
        <w:gridCol w:w="1305"/>
        <w:gridCol w:w="1416"/>
        <w:gridCol w:w="1326"/>
        <w:gridCol w:w="1331"/>
        <w:gridCol w:w="1313"/>
        <w:gridCol w:w="1643"/>
      </w:tblGrid>
      <w:tr w:rsidR="0061244A" w:rsidRPr="00AF4DF8" w14:paraId="2C3E0556" w14:textId="77777777" w:rsidTr="005976F2">
        <w:tc>
          <w:tcPr>
            <w:tcW w:w="1328" w:type="dxa"/>
          </w:tcPr>
          <w:p w14:paraId="30D087F5" w14:textId="77777777" w:rsidR="0061244A" w:rsidRPr="00AF4DF8" w:rsidRDefault="0061244A">
            <w:pPr>
              <w:jc w:val="center"/>
              <w:rPr>
                <w:rFonts w:cs="Times New Roman"/>
                <w:szCs w:val="24"/>
              </w:rPr>
            </w:pPr>
            <w:r w:rsidRPr="00AF4DF8">
              <w:rPr>
                <w:rFonts w:cs="Times New Roman"/>
                <w:szCs w:val="24"/>
              </w:rPr>
              <w:t>Cathode</w:t>
            </w:r>
          </w:p>
        </w:tc>
        <w:tc>
          <w:tcPr>
            <w:tcW w:w="1305" w:type="dxa"/>
          </w:tcPr>
          <w:p w14:paraId="4AFC8ECE" w14:textId="77777777" w:rsidR="0061244A" w:rsidRPr="00AF4DF8" w:rsidRDefault="0061244A">
            <w:pPr>
              <w:jc w:val="center"/>
              <w:rPr>
                <w:rFonts w:cs="Times New Roman"/>
                <w:szCs w:val="24"/>
              </w:rPr>
            </w:pPr>
            <w:r w:rsidRPr="00AF4DF8">
              <w:rPr>
                <w:rFonts w:cs="Times New Roman"/>
                <w:szCs w:val="24"/>
              </w:rPr>
              <w:t>Anode</w:t>
            </w:r>
          </w:p>
        </w:tc>
        <w:tc>
          <w:tcPr>
            <w:tcW w:w="1416" w:type="dxa"/>
          </w:tcPr>
          <w:p w14:paraId="55FF55A4" w14:textId="77777777" w:rsidR="0061244A" w:rsidRPr="00AF4DF8" w:rsidRDefault="0061244A">
            <w:pPr>
              <w:jc w:val="center"/>
              <w:rPr>
                <w:rFonts w:cs="Times New Roman"/>
                <w:szCs w:val="24"/>
              </w:rPr>
            </w:pPr>
            <w:r w:rsidRPr="00AF4DF8">
              <w:rPr>
                <w:rFonts w:cs="Times New Roman"/>
                <w:szCs w:val="24"/>
              </w:rPr>
              <w:t>Architecture</w:t>
            </w:r>
          </w:p>
        </w:tc>
        <w:tc>
          <w:tcPr>
            <w:tcW w:w="1326" w:type="dxa"/>
          </w:tcPr>
          <w:p w14:paraId="3F85687E" w14:textId="77777777" w:rsidR="0061244A" w:rsidRPr="00AF4DF8" w:rsidRDefault="0061244A">
            <w:pPr>
              <w:jc w:val="center"/>
              <w:rPr>
                <w:rFonts w:cs="Times New Roman"/>
                <w:szCs w:val="24"/>
              </w:rPr>
            </w:pPr>
            <w:r w:rsidRPr="00AF4DF8">
              <w:rPr>
                <w:rFonts w:cs="Times New Roman"/>
                <w:szCs w:val="24"/>
              </w:rPr>
              <w:t>Mass Loading (mg cm</w:t>
            </w:r>
            <w:r w:rsidRPr="00AF4DF8">
              <w:rPr>
                <w:rFonts w:cs="Times New Roman"/>
                <w:szCs w:val="24"/>
                <w:vertAlign w:val="superscript"/>
              </w:rPr>
              <w:t>-2</w:t>
            </w:r>
            <w:r w:rsidRPr="00AF4DF8">
              <w:rPr>
                <w:rFonts w:cs="Times New Roman"/>
                <w:szCs w:val="24"/>
              </w:rPr>
              <w:t>)</w:t>
            </w:r>
          </w:p>
        </w:tc>
        <w:tc>
          <w:tcPr>
            <w:tcW w:w="1331" w:type="dxa"/>
          </w:tcPr>
          <w:p w14:paraId="7C068389" w14:textId="77777777" w:rsidR="0061244A" w:rsidRPr="00AF4DF8" w:rsidRDefault="0061244A">
            <w:pPr>
              <w:jc w:val="center"/>
              <w:rPr>
                <w:rFonts w:cs="Times New Roman"/>
                <w:szCs w:val="24"/>
              </w:rPr>
            </w:pPr>
            <w:r w:rsidRPr="00AF4DF8">
              <w:rPr>
                <w:rFonts w:cs="Times New Roman"/>
                <w:szCs w:val="24"/>
              </w:rPr>
              <w:t>Thickness</w:t>
            </w:r>
            <w:r w:rsidRPr="00AF4DF8">
              <w:rPr>
                <w:rFonts w:cs="Times New Roman"/>
                <w:szCs w:val="24"/>
              </w:rPr>
              <w:br/>
              <w:t>(μm)</w:t>
            </w:r>
          </w:p>
        </w:tc>
        <w:tc>
          <w:tcPr>
            <w:tcW w:w="1313" w:type="dxa"/>
          </w:tcPr>
          <w:p w14:paraId="20F10FD7" w14:textId="77777777" w:rsidR="0061244A" w:rsidRPr="00AF4DF8" w:rsidRDefault="0061244A">
            <w:pPr>
              <w:jc w:val="center"/>
              <w:rPr>
                <w:rFonts w:cs="Times New Roman"/>
                <w:szCs w:val="24"/>
              </w:rPr>
            </w:pPr>
            <w:r w:rsidRPr="00AF4DF8">
              <w:rPr>
                <w:rFonts w:cs="Times New Roman"/>
                <w:szCs w:val="24"/>
              </w:rPr>
              <w:t>C-rate</w:t>
            </w:r>
          </w:p>
        </w:tc>
        <w:tc>
          <w:tcPr>
            <w:tcW w:w="1331" w:type="dxa"/>
          </w:tcPr>
          <w:p w14:paraId="5AF96254" w14:textId="77777777" w:rsidR="0061244A" w:rsidRPr="00AF4DF8" w:rsidRDefault="0061244A">
            <w:pPr>
              <w:jc w:val="center"/>
              <w:rPr>
                <w:rFonts w:cs="Times New Roman"/>
                <w:szCs w:val="24"/>
              </w:rPr>
            </w:pPr>
            <w:r w:rsidRPr="00AF4DF8">
              <w:rPr>
                <w:rFonts w:cs="Times New Roman"/>
                <w:szCs w:val="24"/>
              </w:rPr>
              <w:t>Areal Discharge Capacity at Corresponding C-rate</w:t>
            </w:r>
            <w:r w:rsidRPr="00AF4DF8">
              <w:br/>
            </w:r>
            <w:r w:rsidRPr="00AF4DF8">
              <w:rPr>
                <w:rFonts w:cs="Times New Roman"/>
                <w:szCs w:val="24"/>
              </w:rPr>
              <w:t>(mAh cm</w:t>
            </w:r>
            <w:r w:rsidRPr="00AF4DF8">
              <w:rPr>
                <w:rFonts w:cs="Times New Roman"/>
                <w:szCs w:val="24"/>
                <w:vertAlign w:val="superscript"/>
              </w:rPr>
              <w:t>-2)</w:t>
            </w:r>
          </w:p>
        </w:tc>
      </w:tr>
      <w:tr w:rsidR="0061244A" w:rsidRPr="00AF4DF8" w14:paraId="387E3776" w14:textId="77777777" w:rsidTr="005976F2">
        <w:tc>
          <w:tcPr>
            <w:tcW w:w="1328" w:type="dxa"/>
          </w:tcPr>
          <w:p w14:paraId="625F7F65" w14:textId="77777777" w:rsidR="0061244A" w:rsidRPr="00AF4DF8" w:rsidRDefault="0061244A">
            <w:pPr>
              <w:jc w:val="center"/>
              <w:rPr>
                <w:rFonts w:cs="Times New Roman"/>
                <w:szCs w:val="24"/>
                <w:vertAlign w:val="subscript"/>
              </w:rPr>
            </w:pPr>
            <w:r w:rsidRPr="00AF4DF8">
              <w:rPr>
                <w:rFonts w:cs="Times New Roman"/>
                <w:szCs w:val="24"/>
              </w:rPr>
              <w:t>LiFePO</w:t>
            </w:r>
            <w:r w:rsidRPr="00AF4DF8">
              <w:rPr>
                <w:rFonts w:cs="Times New Roman"/>
                <w:szCs w:val="24"/>
                <w:vertAlign w:val="subscript"/>
              </w:rPr>
              <w:t>4</w:t>
            </w:r>
          </w:p>
          <w:p w14:paraId="04A726A7" w14:textId="77777777" w:rsidR="0061244A" w:rsidRPr="00AF4DF8" w:rsidRDefault="0061244A">
            <w:pPr>
              <w:jc w:val="center"/>
              <w:rPr>
                <w:rFonts w:cs="Times New Roman"/>
                <w:szCs w:val="24"/>
              </w:rPr>
            </w:pPr>
          </w:p>
        </w:tc>
        <w:tc>
          <w:tcPr>
            <w:tcW w:w="1305" w:type="dxa"/>
          </w:tcPr>
          <w:p w14:paraId="1B8289CB" w14:textId="77777777" w:rsidR="0061244A" w:rsidRPr="00AF4DF8" w:rsidRDefault="0061244A">
            <w:pPr>
              <w:jc w:val="center"/>
              <w:rPr>
                <w:rFonts w:cs="Times New Roman"/>
                <w:szCs w:val="24"/>
              </w:rPr>
            </w:pPr>
            <w:r w:rsidRPr="00AF4DF8">
              <w:rPr>
                <w:rFonts w:cs="Times New Roman"/>
                <w:szCs w:val="24"/>
              </w:rPr>
              <w:t>Graphite</w:t>
            </w:r>
          </w:p>
        </w:tc>
        <w:tc>
          <w:tcPr>
            <w:tcW w:w="1416" w:type="dxa"/>
          </w:tcPr>
          <w:p w14:paraId="79ED0244" w14:textId="77777777" w:rsidR="0061244A" w:rsidRPr="00AF4DF8" w:rsidRDefault="0061244A">
            <w:pPr>
              <w:jc w:val="center"/>
              <w:rPr>
                <w:rFonts w:cs="Times New Roman"/>
                <w:szCs w:val="24"/>
              </w:rPr>
            </w:pPr>
            <w:r w:rsidRPr="00AF4DF8">
              <w:rPr>
                <w:rFonts w:cs="Times New Roman"/>
                <w:szCs w:val="24"/>
              </w:rPr>
              <w:t>Slurry Cast</w:t>
            </w:r>
          </w:p>
        </w:tc>
        <w:tc>
          <w:tcPr>
            <w:tcW w:w="1326" w:type="dxa"/>
          </w:tcPr>
          <w:p w14:paraId="147CDC86" w14:textId="77777777" w:rsidR="0061244A" w:rsidRPr="00AF4DF8" w:rsidRDefault="0061244A">
            <w:pPr>
              <w:jc w:val="center"/>
              <w:rPr>
                <w:rFonts w:cs="Times New Roman"/>
                <w:szCs w:val="24"/>
              </w:rPr>
            </w:pPr>
            <w:r w:rsidRPr="00AF4DF8">
              <w:rPr>
                <w:rFonts w:cs="Times New Roman"/>
                <w:szCs w:val="24"/>
              </w:rPr>
              <w:t>13</w:t>
            </w:r>
          </w:p>
        </w:tc>
        <w:tc>
          <w:tcPr>
            <w:tcW w:w="1331" w:type="dxa"/>
          </w:tcPr>
          <w:p w14:paraId="1524B0DD" w14:textId="77777777" w:rsidR="0061244A" w:rsidRPr="00AF4DF8" w:rsidRDefault="0061244A">
            <w:pPr>
              <w:jc w:val="center"/>
              <w:rPr>
                <w:rFonts w:cs="Times New Roman"/>
                <w:szCs w:val="24"/>
              </w:rPr>
            </w:pPr>
            <w:r w:rsidRPr="00AF4DF8">
              <w:rPr>
                <w:rFonts w:cs="Times New Roman"/>
                <w:szCs w:val="24"/>
              </w:rPr>
              <w:t>100</w:t>
            </w:r>
          </w:p>
        </w:tc>
        <w:tc>
          <w:tcPr>
            <w:tcW w:w="1313" w:type="dxa"/>
          </w:tcPr>
          <w:p w14:paraId="3BA1B9E5" w14:textId="77777777" w:rsidR="0061244A" w:rsidRPr="00AF4DF8" w:rsidRDefault="0061244A">
            <w:pPr>
              <w:jc w:val="center"/>
              <w:rPr>
                <w:rFonts w:cs="Times New Roman"/>
                <w:szCs w:val="24"/>
              </w:rPr>
            </w:pPr>
            <w:r w:rsidRPr="00AF4DF8">
              <w:rPr>
                <w:rFonts w:cs="Times New Roman"/>
                <w:szCs w:val="24"/>
              </w:rPr>
              <w:t>C/2</w:t>
            </w:r>
          </w:p>
        </w:tc>
        <w:tc>
          <w:tcPr>
            <w:tcW w:w="1331" w:type="dxa"/>
          </w:tcPr>
          <w:p w14:paraId="46655517" w14:textId="77777777" w:rsidR="0061244A" w:rsidRPr="00AF4DF8" w:rsidRDefault="0061244A">
            <w:pPr>
              <w:jc w:val="center"/>
              <w:rPr>
                <w:rFonts w:cs="Times New Roman"/>
                <w:szCs w:val="24"/>
              </w:rPr>
            </w:pPr>
            <w:r w:rsidRPr="00AF4DF8">
              <w:rPr>
                <w:rFonts w:cs="Times New Roman"/>
                <w:szCs w:val="24"/>
              </w:rPr>
              <w:t>1</w:t>
            </w:r>
            <w:r w:rsidRPr="00AF4DF8">
              <w:rPr>
                <w:rFonts w:cs="Times New Roman"/>
                <w:szCs w:val="24"/>
              </w:rPr>
              <w:fldChar w:fldCharType="begin"/>
            </w:r>
            <w:r w:rsidRPr="00AF4DF8">
              <w:rPr>
                <w:rFonts w:cs="Times New Roman"/>
                <w:szCs w:val="24"/>
              </w:rPr>
              <w:instrText xml:space="preserve"> ADDIN ZOTERO_ITEM CSL_CITATION {"citationID":"PsIWiUxl","properties":{"formattedCitation":"\\super 1\\nosupersub{}","plainCitation":"1","noteIndex":0},"citationItems":[{"id":215,"uris":["http://zotero.org/users/local/2oCOiX9Z/items/38P5RGXG"],"itemData":{"id":215,"type":"article-journal","abstract":"Lithium iron phosphate is a promising cathode material for lithium-ion batteries, despite its low electrical conductivity and lithium-ion diffusion kinetic. To overcome the reduced rate performance, three dimensional (3D) architectures were generated in composite cathode layers. By using ultrashort laser radiation with pulse durations in the femtosecond regime the ablation depth per pulse is three times higher compared to nanosecond laser pulses. Due to the 3D structuring, the surface area of the active material which is in direct contact with liquid electrolyte, i.e. the active surface, is increased. As a result the capacity retention and the cycle stability were significantly improved, especially for high charging/discharging currents. Furthermore, a 3D structure leads to higher currents during cyclic voltammetry. Thus, the lithium-ion diffusion kinetic in the cell was improved. In addition, using ultrashort laser pulses results in a high aspect ratio and further improvement of the cell kinetic was achieved.","container-title":"Journal of Power Sources","DOI":"10.1016/j.jpowsour.2015.10.086","ISSN":"0378-7753","journalAbbreviation":"Journal of Power Sources","language":"en","page":"24-32","source":"ScienceDirect","title":"Influence of laser pulse duration on the electrochemical performance of laser structured LiFePO4 composite electrodes","volume":"304","author":[{"family":"Mangang","given":"M."},{"family":"Seifert","given":"H. J."},{"family":"Pfleging","given":"W."}],"issued":{"date-parts":[["2016",2,1]]}}}],"schema":"https://github.com/citation-style-language/schema/raw/master/csl-citation.json"} </w:instrText>
            </w:r>
            <w:r w:rsidRPr="00AF4DF8">
              <w:rPr>
                <w:rFonts w:cs="Times New Roman"/>
                <w:szCs w:val="24"/>
              </w:rPr>
              <w:fldChar w:fldCharType="separate"/>
            </w:r>
            <w:r w:rsidRPr="00AF4DF8">
              <w:rPr>
                <w:rFonts w:cs="Times New Roman"/>
                <w:szCs w:val="24"/>
                <w:vertAlign w:val="superscript"/>
              </w:rPr>
              <w:t>1</w:t>
            </w:r>
            <w:r w:rsidRPr="00AF4DF8">
              <w:rPr>
                <w:rFonts w:cs="Times New Roman"/>
                <w:szCs w:val="24"/>
              </w:rPr>
              <w:fldChar w:fldCharType="end"/>
            </w:r>
          </w:p>
        </w:tc>
      </w:tr>
      <w:tr w:rsidR="0061244A" w:rsidRPr="00AF4DF8" w14:paraId="49693D50" w14:textId="77777777" w:rsidTr="005976F2">
        <w:tc>
          <w:tcPr>
            <w:tcW w:w="1328" w:type="dxa"/>
          </w:tcPr>
          <w:p w14:paraId="5D22771E" w14:textId="77777777" w:rsidR="0061244A" w:rsidRPr="00AF4DF8" w:rsidRDefault="0061244A">
            <w:pPr>
              <w:jc w:val="center"/>
              <w:rPr>
                <w:rFonts w:cs="Times New Roman"/>
                <w:szCs w:val="24"/>
                <w:vertAlign w:val="subscript"/>
              </w:rPr>
            </w:pPr>
            <w:r w:rsidRPr="00AF4DF8">
              <w:rPr>
                <w:rFonts w:cs="Times New Roman"/>
                <w:szCs w:val="24"/>
              </w:rPr>
              <w:t>LiFePO</w:t>
            </w:r>
            <w:r w:rsidRPr="00AF4DF8">
              <w:rPr>
                <w:rFonts w:cs="Times New Roman"/>
                <w:szCs w:val="24"/>
                <w:vertAlign w:val="subscript"/>
              </w:rPr>
              <w:t>4</w:t>
            </w:r>
          </w:p>
          <w:p w14:paraId="0E409E28" w14:textId="77777777" w:rsidR="0061244A" w:rsidRPr="00AF4DF8" w:rsidRDefault="0061244A">
            <w:pPr>
              <w:jc w:val="center"/>
              <w:rPr>
                <w:rFonts w:cs="Times New Roman"/>
                <w:szCs w:val="24"/>
              </w:rPr>
            </w:pPr>
          </w:p>
        </w:tc>
        <w:tc>
          <w:tcPr>
            <w:tcW w:w="1305" w:type="dxa"/>
          </w:tcPr>
          <w:p w14:paraId="6000195B" w14:textId="77777777" w:rsidR="0061244A" w:rsidRPr="00AF4DF8" w:rsidRDefault="0061244A">
            <w:pPr>
              <w:jc w:val="center"/>
              <w:rPr>
                <w:rFonts w:cs="Times New Roman"/>
                <w:szCs w:val="24"/>
              </w:rPr>
            </w:pPr>
            <w:r w:rsidRPr="00AF4DF8">
              <w:rPr>
                <w:rFonts w:cs="Times New Roman"/>
                <w:szCs w:val="24"/>
              </w:rPr>
              <w:t>Graphite</w:t>
            </w:r>
          </w:p>
        </w:tc>
        <w:tc>
          <w:tcPr>
            <w:tcW w:w="1416" w:type="dxa"/>
          </w:tcPr>
          <w:p w14:paraId="7ED99411" w14:textId="77777777" w:rsidR="0061244A" w:rsidRPr="00AF4DF8" w:rsidRDefault="0061244A">
            <w:pPr>
              <w:jc w:val="center"/>
              <w:rPr>
                <w:rFonts w:cs="Times New Roman"/>
                <w:szCs w:val="24"/>
              </w:rPr>
            </w:pPr>
            <w:r w:rsidRPr="00AF4DF8">
              <w:rPr>
                <w:rFonts w:cs="Times New Roman"/>
                <w:szCs w:val="24"/>
              </w:rPr>
              <w:t>Laser Ablation</w:t>
            </w:r>
          </w:p>
        </w:tc>
        <w:tc>
          <w:tcPr>
            <w:tcW w:w="1326" w:type="dxa"/>
          </w:tcPr>
          <w:p w14:paraId="7C125279" w14:textId="77777777" w:rsidR="0061244A" w:rsidRPr="00AF4DF8" w:rsidRDefault="0061244A">
            <w:pPr>
              <w:jc w:val="center"/>
              <w:rPr>
                <w:rFonts w:cs="Times New Roman"/>
                <w:szCs w:val="24"/>
              </w:rPr>
            </w:pPr>
            <w:r w:rsidRPr="00AF4DF8">
              <w:rPr>
                <w:rFonts w:cs="Times New Roman"/>
                <w:szCs w:val="24"/>
              </w:rPr>
              <w:t>12</w:t>
            </w:r>
          </w:p>
        </w:tc>
        <w:tc>
          <w:tcPr>
            <w:tcW w:w="1331" w:type="dxa"/>
          </w:tcPr>
          <w:p w14:paraId="65F2E75D" w14:textId="77777777" w:rsidR="0061244A" w:rsidRPr="00AF4DF8" w:rsidRDefault="0061244A">
            <w:pPr>
              <w:jc w:val="center"/>
              <w:rPr>
                <w:rFonts w:cs="Times New Roman"/>
                <w:szCs w:val="24"/>
              </w:rPr>
            </w:pPr>
            <w:r w:rsidRPr="00AF4DF8">
              <w:rPr>
                <w:rFonts w:cs="Times New Roman"/>
                <w:szCs w:val="24"/>
              </w:rPr>
              <w:t>85</w:t>
            </w:r>
          </w:p>
        </w:tc>
        <w:tc>
          <w:tcPr>
            <w:tcW w:w="1313" w:type="dxa"/>
          </w:tcPr>
          <w:p w14:paraId="32A2BAEB" w14:textId="77777777" w:rsidR="0061244A" w:rsidRPr="00AF4DF8" w:rsidRDefault="0061244A">
            <w:pPr>
              <w:jc w:val="center"/>
              <w:rPr>
                <w:rFonts w:cs="Times New Roman"/>
                <w:szCs w:val="24"/>
              </w:rPr>
            </w:pPr>
            <w:r w:rsidRPr="00AF4DF8">
              <w:rPr>
                <w:rFonts w:cs="Times New Roman"/>
                <w:szCs w:val="24"/>
              </w:rPr>
              <w:t>C/2</w:t>
            </w:r>
          </w:p>
        </w:tc>
        <w:tc>
          <w:tcPr>
            <w:tcW w:w="1331" w:type="dxa"/>
          </w:tcPr>
          <w:p w14:paraId="27E9A4EF" w14:textId="77777777" w:rsidR="0061244A" w:rsidRPr="00AF4DF8" w:rsidRDefault="0061244A">
            <w:pPr>
              <w:jc w:val="center"/>
              <w:rPr>
                <w:rFonts w:cs="Times New Roman"/>
                <w:szCs w:val="24"/>
              </w:rPr>
            </w:pPr>
            <w:r w:rsidRPr="00AF4DF8">
              <w:rPr>
                <w:rFonts w:cs="Times New Roman"/>
                <w:szCs w:val="24"/>
              </w:rPr>
              <w:t>1</w:t>
            </w:r>
            <w:r w:rsidRPr="00AF4DF8">
              <w:rPr>
                <w:rFonts w:cs="Times New Roman"/>
                <w:szCs w:val="24"/>
              </w:rPr>
              <w:fldChar w:fldCharType="begin"/>
            </w:r>
            <w:r w:rsidRPr="00AF4DF8">
              <w:rPr>
                <w:rFonts w:cs="Times New Roman"/>
                <w:szCs w:val="24"/>
              </w:rPr>
              <w:instrText xml:space="preserve"> ADDIN ZOTERO_ITEM CSL_CITATION {"citationID":"0LP7VWpq","properties":{"formattedCitation":"\\super 1\\nosupersub{}","plainCitation":"1","noteIndex":0},"citationItems":[{"id":215,"uris":["http://zotero.org/users/local/2oCOiX9Z/items/38P5RGXG"],"itemData":{"id":215,"type":"article-journal","abstract":"Lithium iron phosphate is a promising cathode material for lithium-ion batteries, despite its low electrical conductivity and lithium-ion diffusion kinetic. To overcome the reduced rate performance, three dimensional (3D) architectures were generated in composite cathode layers. By using ultrashort laser radiation with pulse durations in the femtosecond regime the ablation depth per pulse is three times higher compared to nanosecond laser pulses. Due to the 3D structuring, the surface area of the active material which is in direct contact with liquid electrolyte, i.e. the active surface, is increased. As a result the capacity retention and the cycle stability were significantly improved, especially for high charging/discharging currents. Furthermore, a 3D structure leads to higher currents during cyclic voltammetry. Thus, the lithium-ion diffusion kinetic in the cell was improved. In addition, using ultrashort laser pulses results in a high aspect ratio and further improvement of the cell kinetic was achieved.","container-title":"Journal of Power Sources","DOI":"10.1016/j.jpowsour.2015.10.086","ISSN":"0378-7753","journalAbbreviation":"Journal of Power Sources","language":"en","page":"24-32","source":"ScienceDirect","title":"Influence of laser pulse duration on the electrochemical performance of laser structured LiFePO4 composite electrodes","volume":"304","author":[{"family":"Mangang","given":"M."},{"family":"Seifert","given":"H. J."},{"family":"Pfleging","given":"W."}],"issued":{"date-parts":[["2016",2,1]]}}}],"schema":"https://github.com/citation-style-language/schema/raw/master/csl-citation.json"} </w:instrText>
            </w:r>
            <w:r w:rsidRPr="00AF4DF8">
              <w:rPr>
                <w:rFonts w:cs="Times New Roman"/>
                <w:szCs w:val="24"/>
              </w:rPr>
              <w:fldChar w:fldCharType="separate"/>
            </w:r>
            <w:r w:rsidRPr="00AF4DF8">
              <w:rPr>
                <w:rFonts w:cs="Times New Roman"/>
                <w:szCs w:val="24"/>
                <w:vertAlign w:val="superscript"/>
              </w:rPr>
              <w:t>1</w:t>
            </w:r>
            <w:r w:rsidRPr="00AF4DF8">
              <w:rPr>
                <w:rFonts w:cs="Times New Roman"/>
                <w:szCs w:val="24"/>
              </w:rPr>
              <w:fldChar w:fldCharType="end"/>
            </w:r>
          </w:p>
        </w:tc>
      </w:tr>
      <w:tr w:rsidR="0061244A" w:rsidRPr="00AF4DF8" w14:paraId="19DD02F1" w14:textId="77777777" w:rsidTr="005976F2">
        <w:tc>
          <w:tcPr>
            <w:tcW w:w="1328" w:type="dxa"/>
          </w:tcPr>
          <w:p w14:paraId="656213C1" w14:textId="77777777" w:rsidR="0061244A" w:rsidRPr="00AF4DF8" w:rsidRDefault="0061244A">
            <w:pPr>
              <w:jc w:val="center"/>
              <w:rPr>
                <w:rFonts w:cs="Times New Roman"/>
                <w:szCs w:val="24"/>
              </w:rPr>
            </w:pPr>
            <w:r w:rsidRPr="00AF4DF8">
              <w:rPr>
                <w:rFonts w:cs="Times New Roman"/>
                <w:szCs w:val="24"/>
              </w:rPr>
              <w:t>NCM111</w:t>
            </w:r>
          </w:p>
          <w:p w14:paraId="7E9CD051" w14:textId="77777777" w:rsidR="0061244A" w:rsidRPr="00AF4DF8" w:rsidRDefault="0061244A">
            <w:pPr>
              <w:jc w:val="center"/>
              <w:rPr>
                <w:rFonts w:cs="Times New Roman"/>
                <w:szCs w:val="24"/>
              </w:rPr>
            </w:pPr>
          </w:p>
        </w:tc>
        <w:tc>
          <w:tcPr>
            <w:tcW w:w="1305" w:type="dxa"/>
          </w:tcPr>
          <w:p w14:paraId="60F0A145" w14:textId="77777777" w:rsidR="0061244A" w:rsidRPr="00AF4DF8" w:rsidRDefault="0061244A">
            <w:pPr>
              <w:jc w:val="center"/>
              <w:rPr>
                <w:rFonts w:cs="Times New Roman"/>
                <w:szCs w:val="24"/>
              </w:rPr>
            </w:pPr>
            <w:r w:rsidRPr="00AF4DF8">
              <w:rPr>
                <w:rFonts w:cs="Times New Roman"/>
                <w:szCs w:val="24"/>
              </w:rPr>
              <w:t>Li-metal</w:t>
            </w:r>
          </w:p>
        </w:tc>
        <w:tc>
          <w:tcPr>
            <w:tcW w:w="1416" w:type="dxa"/>
          </w:tcPr>
          <w:p w14:paraId="0A67B900" w14:textId="77777777" w:rsidR="0061244A" w:rsidRPr="00AF4DF8" w:rsidRDefault="0061244A">
            <w:pPr>
              <w:jc w:val="center"/>
              <w:rPr>
                <w:rFonts w:cs="Times New Roman"/>
                <w:szCs w:val="24"/>
              </w:rPr>
            </w:pPr>
            <w:r w:rsidRPr="00AF4DF8">
              <w:rPr>
                <w:rFonts w:cs="Times New Roman"/>
                <w:szCs w:val="24"/>
              </w:rPr>
              <w:t>Slurry Cast</w:t>
            </w:r>
          </w:p>
        </w:tc>
        <w:tc>
          <w:tcPr>
            <w:tcW w:w="1326" w:type="dxa"/>
          </w:tcPr>
          <w:p w14:paraId="4830DBD0" w14:textId="77777777" w:rsidR="0061244A" w:rsidRPr="00AF4DF8" w:rsidRDefault="0061244A">
            <w:pPr>
              <w:jc w:val="center"/>
              <w:rPr>
                <w:rFonts w:cs="Times New Roman"/>
                <w:szCs w:val="24"/>
              </w:rPr>
            </w:pPr>
            <w:r w:rsidRPr="00AF4DF8">
              <w:rPr>
                <w:rFonts w:cs="Times New Roman"/>
                <w:szCs w:val="24"/>
              </w:rPr>
              <w:t>24</w:t>
            </w:r>
          </w:p>
        </w:tc>
        <w:tc>
          <w:tcPr>
            <w:tcW w:w="1331" w:type="dxa"/>
          </w:tcPr>
          <w:p w14:paraId="156D97DA" w14:textId="77777777" w:rsidR="0061244A" w:rsidRPr="00AF4DF8" w:rsidRDefault="0061244A">
            <w:pPr>
              <w:jc w:val="center"/>
              <w:rPr>
                <w:rFonts w:cs="Times New Roman"/>
                <w:szCs w:val="24"/>
              </w:rPr>
            </w:pPr>
            <w:r w:rsidRPr="00AF4DF8">
              <w:rPr>
                <w:rFonts w:cs="Times New Roman"/>
                <w:szCs w:val="24"/>
              </w:rPr>
              <w:t>132</w:t>
            </w:r>
          </w:p>
        </w:tc>
        <w:tc>
          <w:tcPr>
            <w:tcW w:w="1313" w:type="dxa"/>
          </w:tcPr>
          <w:p w14:paraId="28673F25" w14:textId="77777777" w:rsidR="0061244A" w:rsidRPr="00AF4DF8" w:rsidRDefault="0061244A">
            <w:pPr>
              <w:jc w:val="center"/>
              <w:rPr>
                <w:rFonts w:cs="Times New Roman"/>
                <w:szCs w:val="24"/>
              </w:rPr>
            </w:pPr>
            <w:r w:rsidRPr="00AF4DF8">
              <w:rPr>
                <w:rFonts w:cs="Times New Roman"/>
                <w:szCs w:val="24"/>
              </w:rPr>
              <w:t>1C</w:t>
            </w:r>
          </w:p>
        </w:tc>
        <w:tc>
          <w:tcPr>
            <w:tcW w:w="1331" w:type="dxa"/>
          </w:tcPr>
          <w:p w14:paraId="1BEE23B8" w14:textId="77777777" w:rsidR="0061244A" w:rsidRPr="00AF4DF8" w:rsidRDefault="0061244A">
            <w:pPr>
              <w:jc w:val="center"/>
              <w:rPr>
                <w:rFonts w:cs="Times New Roman"/>
                <w:szCs w:val="24"/>
              </w:rPr>
            </w:pPr>
            <w:r w:rsidRPr="00AF4DF8">
              <w:rPr>
                <w:rFonts w:cs="Times New Roman"/>
                <w:szCs w:val="24"/>
              </w:rPr>
              <w:t>3.5</w:t>
            </w:r>
            <w:r w:rsidRPr="00AF4DF8">
              <w:rPr>
                <w:rFonts w:cs="Times New Roman"/>
                <w:szCs w:val="24"/>
              </w:rPr>
              <w:fldChar w:fldCharType="begin"/>
            </w:r>
            <w:r w:rsidRPr="00AF4DF8">
              <w:rPr>
                <w:rFonts w:cs="Times New Roman"/>
                <w:szCs w:val="24"/>
              </w:rPr>
              <w:instrText xml:space="preserve"> ADDIN ZOTERO_ITEM CSL_CITATION {"citationID":"0I73TC83","properties":{"formattedCitation":"\\super 2\\nosupersub{}","plainCitation":"2","noteIndex":0},"citationItems":[{"id":12,"uris":["http://zotero.org/users/local/2oCOiX9Z/items/A3EYENRW"],"itemData":{"id":12,"type":"article-journal","abstract":"LiNi1/3Co1/3Mn1/3O2 (NCM) and LiFePO4 (LFP) electrodes of different active material loadings are prepared. The impact of electrode thickness on the rate capability, energy and power density and long-term cycling behavior is comparatively investigated. Peukert coefficient slightly increases with increasing electrode thickness, showing a severe capacity loss at higher rate for thicker electrode. A power-law relation between the maximum working C rate and electrode loading is obtained. Increase of the specific resistance with increasing electrode thickness is not an important factor responsible for the poor rate performance for thicker electrode. The power–law relationship is typical for a diffusion-related system, indicating that Li ion diffusion within the electrode is the rate-determining step for the discharge process. As the result of the deterioration of rate capability, enhancing energy density through increasing electrode thickness is accompanied by a significant loss of power density. Long-term cycling performance is also deteriorated, which is attributed to the high internal resistance and poor mechanical integrity of thicker electrode.","container-title":"Electrochimica Acta","DOI":"10.1016/j.electacta.2012.03.161","ISSN":"0013-4686","journalAbbreviation":"Electrochimica Acta","language":"en","page":"258-265","source":"ScienceDirect","title":"A comprehensive understanding of electrode thickness effects on the electrochemical performances of Li-ion battery cathodes","volume":"71","author":[{"family":"Zheng","given":"Honghe"},{"family":"Li","given":"Jing"},{"family":"Song","given":"Xiangyun"},{"family":"Liu","given":"Gao"},{"family":"Battaglia","given":"Vincent S."}],"issued":{"date-parts":[["2012",6,1]]}}}],"schema":"https://github.com/citation-style-language/schema/raw/master/csl-citation.json"} </w:instrText>
            </w:r>
            <w:r w:rsidRPr="00AF4DF8">
              <w:rPr>
                <w:rFonts w:cs="Times New Roman"/>
                <w:szCs w:val="24"/>
              </w:rPr>
              <w:fldChar w:fldCharType="separate"/>
            </w:r>
            <w:r w:rsidRPr="00AF4DF8">
              <w:rPr>
                <w:rFonts w:cs="Times New Roman"/>
                <w:szCs w:val="24"/>
                <w:vertAlign w:val="superscript"/>
              </w:rPr>
              <w:t>2</w:t>
            </w:r>
            <w:r w:rsidRPr="00AF4DF8">
              <w:rPr>
                <w:rFonts w:cs="Times New Roman"/>
                <w:szCs w:val="24"/>
              </w:rPr>
              <w:fldChar w:fldCharType="end"/>
            </w:r>
          </w:p>
        </w:tc>
      </w:tr>
      <w:tr w:rsidR="0061244A" w:rsidRPr="00AF4DF8" w14:paraId="28D99D86" w14:textId="77777777" w:rsidTr="005976F2">
        <w:tc>
          <w:tcPr>
            <w:tcW w:w="1328" w:type="dxa"/>
          </w:tcPr>
          <w:p w14:paraId="4EC69AC3" w14:textId="77777777" w:rsidR="0061244A" w:rsidRPr="00AF4DF8" w:rsidRDefault="0061244A">
            <w:pPr>
              <w:jc w:val="center"/>
              <w:rPr>
                <w:rFonts w:cs="Times New Roman"/>
                <w:szCs w:val="24"/>
                <w:vertAlign w:val="subscript"/>
              </w:rPr>
            </w:pPr>
            <w:r w:rsidRPr="00AF4DF8">
              <w:rPr>
                <w:rFonts w:cs="Times New Roman"/>
                <w:szCs w:val="24"/>
              </w:rPr>
              <w:t>LiFePO</w:t>
            </w:r>
            <w:r w:rsidRPr="00AF4DF8">
              <w:rPr>
                <w:rFonts w:cs="Times New Roman"/>
                <w:szCs w:val="24"/>
                <w:vertAlign w:val="subscript"/>
              </w:rPr>
              <w:t>4</w:t>
            </w:r>
          </w:p>
          <w:p w14:paraId="342C020F" w14:textId="77777777" w:rsidR="0061244A" w:rsidRPr="00AF4DF8" w:rsidRDefault="0061244A">
            <w:pPr>
              <w:jc w:val="center"/>
              <w:rPr>
                <w:rFonts w:cs="Times New Roman"/>
                <w:szCs w:val="24"/>
              </w:rPr>
            </w:pPr>
          </w:p>
        </w:tc>
        <w:tc>
          <w:tcPr>
            <w:tcW w:w="1305" w:type="dxa"/>
          </w:tcPr>
          <w:p w14:paraId="1757BD69" w14:textId="77777777" w:rsidR="0061244A" w:rsidRPr="00AF4DF8" w:rsidRDefault="0061244A">
            <w:pPr>
              <w:jc w:val="center"/>
              <w:rPr>
                <w:rFonts w:cs="Times New Roman"/>
                <w:szCs w:val="24"/>
              </w:rPr>
            </w:pPr>
            <w:r w:rsidRPr="00AF4DF8">
              <w:rPr>
                <w:rFonts w:cs="Times New Roman"/>
                <w:szCs w:val="24"/>
              </w:rPr>
              <w:t>Graphite</w:t>
            </w:r>
          </w:p>
        </w:tc>
        <w:tc>
          <w:tcPr>
            <w:tcW w:w="1416" w:type="dxa"/>
          </w:tcPr>
          <w:p w14:paraId="1C0A3552" w14:textId="77777777" w:rsidR="0061244A" w:rsidRPr="00AF4DF8" w:rsidRDefault="0061244A">
            <w:pPr>
              <w:jc w:val="center"/>
              <w:rPr>
                <w:rFonts w:cs="Times New Roman"/>
                <w:szCs w:val="24"/>
              </w:rPr>
            </w:pPr>
            <w:r w:rsidRPr="00AF4DF8">
              <w:rPr>
                <w:rFonts w:cs="Times New Roman"/>
                <w:szCs w:val="24"/>
              </w:rPr>
              <w:t>Slurry Cast</w:t>
            </w:r>
          </w:p>
        </w:tc>
        <w:tc>
          <w:tcPr>
            <w:tcW w:w="1326" w:type="dxa"/>
          </w:tcPr>
          <w:p w14:paraId="4EAC4BE7" w14:textId="77777777" w:rsidR="0061244A" w:rsidRPr="00AF4DF8" w:rsidRDefault="0061244A">
            <w:pPr>
              <w:jc w:val="center"/>
              <w:rPr>
                <w:rFonts w:cs="Times New Roman"/>
                <w:szCs w:val="24"/>
              </w:rPr>
            </w:pPr>
            <w:r w:rsidRPr="00AF4DF8">
              <w:rPr>
                <w:rFonts w:cs="Times New Roman"/>
                <w:szCs w:val="24"/>
              </w:rPr>
              <w:t>16</w:t>
            </w:r>
          </w:p>
        </w:tc>
        <w:tc>
          <w:tcPr>
            <w:tcW w:w="1331" w:type="dxa"/>
          </w:tcPr>
          <w:p w14:paraId="42E8B0D6" w14:textId="77777777" w:rsidR="0061244A" w:rsidRPr="00AF4DF8" w:rsidRDefault="0061244A">
            <w:pPr>
              <w:jc w:val="center"/>
              <w:rPr>
                <w:rFonts w:cs="Times New Roman"/>
                <w:szCs w:val="24"/>
              </w:rPr>
            </w:pPr>
            <w:r w:rsidRPr="00AF4DF8">
              <w:rPr>
                <w:rFonts w:cs="Times New Roman"/>
                <w:szCs w:val="24"/>
              </w:rPr>
              <w:t>136</w:t>
            </w:r>
          </w:p>
        </w:tc>
        <w:tc>
          <w:tcPr>
            <w:tcW w:w="1313" w:type="dxa"/>
          </w:tcPr>
          <w:p w14:paraId="73D4EC5D" w14:textId="77777777" w:rsidR="0061244A" w:rsidRPr="00AF4DF8" w:rsidRDefault="0061244A">
            <w:pPr>
              <w:jc w:val="center"/>
              <w:rPr>
                <w:rFonts w:cs="Times New Roman"/>
                <w:szCs w:val="24"/>
              </w:rPr>
            </w:pPr>
            <w:r w:rsidRPr="00AF4DF8">
              <w:rPr>
                <w:rFonts w:cs="Times New Roman"/>
                <w:szCs w:val="24"/>
              </w:rPr>
              <w:t>1C</w:t>
            </w:r>
          </w:p>
        </w:tc>
        <w:tc>
          <w:tcPr>
            <w:tcW w:w="1331" w:type="dxa"/>
          </w:tcPr>
          <w:p w14:paraId="4A7C97D5" w14:textId="77777777" w:rsidR="0061244A" w:rsidRPr="00AF4DF8" w:rsidRDefault="0061244A">
            <w:pPr>
              <w:jc w:val="center"/>
              <w:rPr>
                <w:rFonts w:cs="Times New Roman"/>
                <w:szCs w:val="24"/>
              </w:rPr>
            </w:pPr>
            <w:r w:rsidRPr="00AF4DF8">
              <w:rPr>
                <w:rFonts w:cs="Times New Roman"/>
                <w:szCs w:val="24"/>
              </w:rPr>
              <w:t>2.4</w:t>
            </w:r>
            <w:r w:rsidRPr="00AF4DF8">
              <w:rPr>
                <w:rFonts w:cs="Times New Roman"/>
                <w:szCs w:val="24"/>
              </w:rPr>
              <w:fldChar w:fldCharType="begin"/>
            </w:r>
            <w:r w:rsidRPr="00AF4DF8">
              <w:rPr>
                <w:rFonts w:cs="Times New Roman"/>
                <w:szCs w:val="24"/>
              </w:rPr>
              <w:instrText xml:space="preserve"> ADDIN ZOTERO_ITEM CSL_CITATION {"citationID":"GPqc19NU","properties":{"formattedCitation":"\\super 2\\nosupersub{}","plainCitation":"2","noteIndex":0},"citationItems":[{"id":12,"uris":["http://zotero.org/users/local/2oCOiX9Z/items/A3EYENRW"],"itemData":{"id":12,"type":"article-journal","abstract":"LiNi1/3Co1/3Mn1/3O2 (NCM) and LiFePO4 (LFP) electrodes of different active material loadings are prepared. The impact of electrode thickness on the rate capability, energy and power density and long-term cycling behavior is comparatively investigated. Peukert coefficient slightly increases with increasing electrode thickness, showing a severe capacity loss at higher rate for thicker electrode. A power-law relation between the maximum working C rate and electrode loading is obtained. Increase of the specific resistance with increasing electrode thickness is not an important factor responsible for the poor rate performance for thicker electrode. The power–law relationship is typical for a diffusion-related system, indicating that Li ion diffusion within the electrode is the rate-determining step for the discharge process. As the result of the deterioration of rate capability, enhancing energy density through increasing electrode thickness is accompanied by a significant loss of power density. Long-term cycling performance is also deteriorated, which is attributed to the high internal resistance and poor mechanical integrity of thicker electrode.","container-title":"Electrochimica Acta","DOI":"10.1016/j.electacta.2012.03.161","ISSN":"0013-4686","journalAbbreviation":"Electrochimica Acta","language":"en","page":"258-265","source":"ScienceDirect","title":"A comprehensive understanding of electrode thickness effects on the electrochemical performances of Li-ion battery cathodes","volume":"71","author":[{"family":"Zheng","given":"Honghe"},{"family":"Li","given":"Jing"},{"family":"Song","given":"Xiangyun"},{"family":"Liu","given":"Gao"},{"family":"Battaglia","given":"Vincent S."}],"issued":{"date-parts":[["2012",6,1]]}}}],"schema":"https://github.com/citation-style-language/schema/raw/master/csl-citation.json"} </w:instrText>
            </w:r>
            <w:r w:rsidRPr="00AF4DF8">
              <w:rPr>
                <w:rFonts w:cs="Times New Roman"/>
                <w:szCs w:val="24"/>
              </w:rPr>
              <w:fldChar w:fldCharType="separate"/>
            </w:r>
            <w:r w:rsidRPr="00AF4DF8">
              <w:rPr>
                <w:rFonts w:cs="Times New Roman"/>
                <w:szCs w:val="24"/>
                <w:vertAlign w:val="superscript"/>
              </w:rPr>
              <w:t>2</w:t>
            </w:r>
            <w:r w:rsidRPr="00AF4DF8">
              <w:rPr>
                <w:rFonts w:cs="Times New Roman"/>
                <w:szCs w:val="24"/>
              </w:rPr>
              <w:fldChar w:fldCharType="end"/>
            </w:r>
          </w:p>
        </w:tc>
      </w:tr>
      <w:tr w:rsidR="0061244A" w:rsidRPr="00AF4DF8" w14:paraId="45E11933" w14:textId="77777777" w:rsidTr="005976F2">
        <w:tc>
          <w:tcPr>
            <w:tcW w:w="1328" w:type="dxa"/>
          </w:tcPr>
          <w:p w14:paraId="3F7CDAAC" w14:textId="77777777" w:rsidR="0061244A" w:rsidRPr="00AF4DF8" w:rsidRDefault="0061244A">
            <w:pPr>
              <w:jc w:val="center"/>
              <w:rPr>
                <w:rFonts w:cs="Times New Roman"/>
                <w:szCs w:val="24"/>
                <w:vertAlign w:val="subscript"/>
              </w:rPr>
            </w:pPr>
            <w:r w:rsidRPr="00AF4DF8">
              <w:rPr>
                <w:rFonts w:cs="Times New Roman"/>
                <w:szCs w:val="24"/>
              </w:rPr>
              <w:t>LiFePO</w:t>
            </w:r>
            <w:r w:rsidRPr="00AF4DF8">
              <w:rPr>
                <w:rFonts w:cs="Times New Roman"/>
                <w:szCs w:val="24"/>
                <w:vertAlign w:val="subscript"/>
              </w:rPr>
              <w:t>4</w:t>
            </w:r>
          </w:p>
          <w:p w14:paraId="33DDCCC8" w14:textId="77777777" w:rsidR="0061244A" w:rsidRPr="00AF4DF8" w:rsidRDefault="0061244A">
            <w:pPr>
              <w:jc w:val="center"/>
              <w:rPr>
                <w:rFonts w:cs="Times New Roman"/>
                <w:szCs w:val="24"/>
              </w:rPr>
            </w:pPr>
          </w:p>
        </w:tc>
        <w:tc>
          <w:tcPr>
            <w:tcW w:w="1305" w:type="dxa"/>
          </w:tcPr>
          <w:p w14:paraId="5F05D565" w14:textId="77777777" w:rsidR="0061244A" w:rsidRPr="00AF4DF8" w:rsidRDefault="0061244A">
            <w:pPr>
              <w:jc w:val="center"/>
              <w:rPr>
                <w:rFonts w:cs="Times New Roman"/>
                <w:szCs w:val="24"/>
              </w:rPr>
            </w:pPr>
            <w:r w:rsidRPr="00AF4DF8">
              <w:rPr>
                <w:rFonts w:cs="Times New Roman"/>
                <w:szCs w:val="24"/>
              </w:rPr>
              <w:t>Li-metal</w:t>
            </w:r>
          </w:p>
        </w:tc>
        <w:tc>
          <w:tcPr>
            <w:tcW w:w="1416" w:type="dxa"/>
          </w:tcPr>
          <w:p w14:paraId="7DD85B21" w14:textId="77777777" w:rsidR="0061244A" w:rsidRPr="00AF4DF8" w:rsidRDefault="0061244A">
            <w:pPr>
              <w:jc w:val="center"/>
              <w:rPr>
                <w:rFonts w:cs="Times New Roman"/>
                <w:szCs w:val="24"/>
              </w:rPr>
            </w:pPr>
            <w:r w:rsidRPr="00AF4DF8">
              <w:rPr>
                <w:rFonts w:cs="Times New Roman"/>
                <w:szCs w:val="24"/>
              </w:rPr>
              <w:t>Carbonized Wood</w:t>
            </w:r>
          </w:p>
        </w:tc>
        <w:tc>
          <w:tcPr>
            <w:tcW w:w="1326" w:type="dxa"/>
          </w:tcPr>
          <w:p w14:paraId="702D0037" w14:textId="77777777" w:rsidR="0061244A" w:rsidRPr="00AF4DF8" w:rsidRDefault="0061244A">
            <w:pPr>
              <w:jc w:val="center"/>
              <w:rPr>
                <w:rFonts w:cs="Times New Roman"/>
                <w:szCs w:val="24"/>
              </w:rPr>
            </w:pPr>
            <w:r w:rsidRPr="00AF4DF8">
              <w:rPr>
                <w:rFonts w:cs="Times New Roman"/>
                <w:szCs w:val="24"/>
              </w:rPr>
              <w:t>60</w:t>
            </w:r>
          </w:p>
        </w:tc>
        <w:tc>
          <w:tcPr>
            <w:tcW w:w="1331" w:type="dxa"/>
          </w:tcPr>
          <w:p w14:paraId="096E284F" w14:textId="77777777" w:rsidR="0061244A" w:rsidRPr="00AF4DF8" w:rsidRDefault="0061244A">
            <w:pPr>
              <w:jc w:val="center"/>
              <w:rPr>
                <w:rFonts w:cs="Times New Roman"/>
                <w:szCs w:val="24"/>
              </w:rPr>
            </w:pPr>
            <w:r w:rsidRPr="00AF4DF8">
              <w:rPr>
                <w:rFonts w:cs="Times New Roman"/>
                <w:szCs w:val="24"/>
              </w:rPr>
              <w:t>800</w:t>
            </w:r>
          </w:p>
        </w:tc>
        <w:tc>
          <w:tcPr>
            <w:tcW w:w="1313" w:type="dxa"/>
          </w:tcPr>
          <w:p w14:paraId="620D0895" w14:textId="77777777" w:rsidR="0061244A" w:rsidRPr="00AF4DF8" w:rsidRDefault="0061244A">
            <w:pPr>
              <w:jc w:val="center"/>
              <w:rPr>
                <w:rFonts w:cs="Times New Roman"/>
                <w:szCs w:val="24"/>
              </w:rPr>
            </w:pPr>
            <w:r w:rsidRPr="00AF4DF8">
              <w:rPr>
                <w:rFonts w:cs="Times New Roman"/>
                <w:szCs w:val="24"/>
              </w:rPr>
              <w:t>2/3C</w:t>
            </w:r>
          </w:p>
        </w:tc>
        <w:tc>
          <w:tcPr>
            <w:tcW w:w="1331" w:type="dxa"/>
          </w:tcPr>
          <w:p w14:paraId="290F2A93" w14:textId="77777777" w:rsidR="0061244A" w:rsidRPr="00AF4DF8" w:rsidRDefault="0061244A">
            <w:pPr>
              <w:jc w:val="center"/>
              <w:rPr>
                <w:rFonts w:cs="Times New Roman"/>
                <w:szCs w:val="24"/>
              </w:rPr>
            </w:pPr>
            <w:r w:rsidRPr="00AF4DF8">
              <w:rPr>
                <w:rFonts w:cs="Times New Roman"/>
                <w:szCs w:val="24"/>
              </w:rPr>
              <w:t>1.7</w:t>
            </w:r>
            <w:r w:rsidRPr="00AF4DF8">
              <w:rPr>
                <w:rFonts w:cs="Times New Roman"/>
                <w:szCs w:val="24"/>
              </w:rPr>
              <w:fldChar w:fldCharType="begin"/>
            </w:r>
            <w:r w:rsidRPr="00AF4DF8">
              <w:rPr>
                <w:rFonts w:cs="Times New Roman"/>
                <w:szCs w:val="24"/>
              </w:rPr>
              <w:instrText xml:space="preserve"> ADDIN ZOTERO_ITEM CSL_CITATION {"citationID":"aDomPukm","properties":{"formattedCitation":"\\super 3\\nosupersub{}","plainCitation":"3","noteIndex":0},"citationItems":[{"id":55,"uris":["http://zotero.org/users/local/2oCOiX9Z/items/7WEXG94X"],"itemData":{"id":55,"type":"article-journal","abstract":"The growing demand for advanced energy storage techniques and devices has driven the energy storage market to strive for higher performance, longer cycling life, and better safety. Thick electrode design enabling more electroactive materials has the potential to significantly improve the energy density on device level yet faces major challenges of slow ion transport and high deformability. Here, inspired by natural wood materials with aligned channels along the tree growth direction, a highly conductive, lightweight, and low-tortuosity carbon framework (CF) directly carbonized from natural wood as an ultrathick 3D current collector is demonstrated. Benefiting from the uniqueness of the multichanneled CF, an ultrathick 3D electrode of lithium iron phosphate filled carbon framework with a large thickness of 800 µm and active material mass loading of 60 mg cm−2 delivers a rational capacity of 7.6 mAh cm−2 (95 Ah L−1 based on volume), long cycling life, and lower deformability with enhanced mechanical properties. This work presents a design concept for thick electrode toward high performance energy storage devices that are not limited to lithium-ion batteries.","container-title":"Advanced Energy Materials","DOI":"10.1002/aenm.201700595","ISSN":"1614-6840","issue":"17","language":"en","note":"_eprint: https://onlinelibrary.wiley.com/doi/pdf/10.1002/aenm.201700595","page":"1700595","source":"Wiley Online Library","title":"Highly Conductive, Lightweight, Low-Tortuosity Carbon Frameworks as Ultrathick 3D Current Collectors","volume":"7","author":[{"family":"Chen","given":"Chaoji"},{"family":"Zhang","given":"Ying"},{"family":"Li","given":"Yiju"},{"family":"Kuang","given":"Yudi"},{"family":"Song","given":"Jianwei"},{"family":"Luo","given":"Wei"},{"family":"Wang","given":"Yanbin"},{"family":"Yao","given":"Yonggang"},{"family":"Pastel","given":"Glenn"},{"family":"Xie","given":"Jia"},{"family":"Hu","given":"Liangbing"}],"issued":{"date-parts":[["2017"]]}}}],"schema":"https://github.com/citation-style-language/schema/raw/master/csl-citation.json"} </w:instrText>
            </w:r>
            <w:r w:rsidRPr="00AF4DF8">
              <w:rPr>
                <w:rFonts w:cs="Times New Roman"/>
                <w:szCs w:val="24"/>
              </w:rPr>
              <w:fldChar w:fldCharType="separate"/>
            </w:r>
            <w:r w:rsidRPr="00AF4DF8">
              <w:rPr>
                <w:rFonts w:cs="Times New Roman"/>
                <w:szCs w:val="24"/>
                <w:vertAlign w:val="superscript"/>
              </w:rPr>
              <w:t>3</w:t>
            </w:r>
            <w:r w:rsidRPr="00AF4DF8">
              <w:rPr>
                <w:rFonts w:cs="Times New Roman"/>
                <w:szCs w:val="24"/>
              </w:rPr>
              <w:fldChar w:fldCharType="end"/>
            </w:r>
          </w:p>
        </w:tc>
      </w:tr>
      <w:tr w:rsidR="0061244A" w:rsidRPr="00AF4DF8" w14:paraId="7516523E" w14:textId="77777777" w:rsidTr="005976F2">
        <w:tc>
          <w:tcPr>
            <w:tcW w:w="1328" w:type="dxa"/>
          </w:tcPr>
          <w:p w14:paraId="6790A486" w14:textId="77777777" w:rsidR="0061244A" w:rsidRPr="00AF4DF8" w:rsidRDefault="0061244A">
            <w:pPr>
              <w:jc w:val="center"/>
              <w:rPr>
                <w:rFonts w:cs="Times New Roman"/>
                <w:szCs w:val="24"/>
                <w:vertAlign w:val="subscript"/>
              </w:rPr>
            </w:pPr>
            <w:r w:rsidRPr="00AF4DF8">
              <w:rPr>
                <w:rFonts w:cs="Times New Roman"/>
                <w:szCs w:val="24"/>
              </w:rPr>
              <w:t>LiFePO</w:t>
            </w:r>
            <w:r w:rsidRPr="00AF4DF8">
              <w:rPr>
                <w:rFonts w:cs="Times New Roman"/>
                <w:szCs w:val="24"/>
                <w:vertAlign w:val="subscript"/>
              </w:rPr>
              <w:t>4</w:t>
            </w:r>
          </w:p>
          <w:p w14:paraId="33049135" w14:textId="77777777" w:rsidR="0061244A" w:rsidRPr="00AF4DF8" w:rsidRDefault="0061244A">
            <w:pPr>
              <w:jc w:val="center"/>
              <w:rPr>
                <w:rFonts w:cs="Times New Roman"/>
                <w:szCs w:val="24"/>
              </w:rPr>
            </w:pPr>
          </w:p>
        </w:tc>
        <w:tc>
          <w:tcPr>
            <w:tcW w:w="1305" w:type="dxa"/>
          </w:tcPr>
          <w:p w14:paraId="514360A4" w14:textId="77777777" w:rsidR="0061244A" w:rsidRPr="00AF4DF8" w:rsidRDefault="0061244A">
            <w:pPr>
              <w:jc w:val="center"/>
              <w:rPr>
                <w:rFonts w:cs="Times New Roman"/>
                <w:szCs w:val="24"/>
              </w:rPr>
            </w:pPr>
            <w:r w:rsidRPr="00AF4DF8">
              <w:rPr>
                <w:rFonts w:cs="Times New Roman"/>
                <w:szCs w:val="24"/>
              </w:rPr>
              <w:t>Li-metal</w:t>
            </w:r>
          </w:p>
        </w:tc>
        <w:tc>
          <w:tcPr>
            <w:tcW w:w="1416" w:type="dxa"/>
          </w:tcPr>
          <w:p w14:paraId="20DF4ADF" w14:textId="77777777" w:rsidR="0061244A" w:rsidRPr="00AF4DF8" w:rsidRDefault="0061244A">
            <w:pPr>
              <w:jc w:val="center"/>
              <w:rPr>
                <w:rFonts w:cs="Times New Roman"/>
                <w:szCs w:val="24"/>
              </w:rPr>
            </w:pPr>
            <w:r w:rsidRPr="00AF4DF8">
              <w:rPr>
                <w:rFonts w:cs="Times New Roman"/>
                <w:szCs w:val="24"/>
              </w:rPr>
              <w:t>Aligned CF</w:t>
            </w:r>
          </w:p>
        </w:tc>
        <w:tc>
          <w:tcPr>
            <w:tcW w:w="1326" w:type="dxa"/>
          </w:tcPr>
          <w:p w14:paraId="314817F1" w14:textId="77777777" w:rsidR="0061244A" w:rsidRPr="00AF4DF8" w:rsidRDefault="0061244A">
            <w:pPr>
              <w:jc w:val="center"/>
              <w:rPr>
                <w:rFonts w:cs="Times New Roman"/>
                <w:szCs w:val="24"/>
              </w:rPr>
            </w:pPr>
            <w:r w:rsidRPr="00AF4DF8">
              <w:rPr>
                <w:rFonts w:cs="Times New Roman"/>
                <w:szCs w:val="24"/>
              </w:rPr>
              <w:t>128</w:t>
            </w:r>
          </w:p>
        </w:tc>
        <w:tc>
          <w:tcPr>
            <w:tcW w:w="1331" w:type="dxa"/>
          </w:tcPr>
          <w:p w14:paraId="35CB449B" w14:textId="77777777" w:rsidR="0061244A" w:rsidRPr="00AF4DF8" w:rsidRDefault="0061244A">
            <w:pPr>
              <w:jc w:val="center"/>
              <w:rPr>
                <w:rFonts w:cs="Times New Roman"/>
                <w:szCs w:val="24"/>
              </w:rPr>
            </w:pPr>
            <w:r w:rsidRPr="00AF4DF8">
              <w:rPr>
                <w:rFonts w:cs="Times New Roman"/>
                <w:szCs w:val="24"/>
              </w:rPr>
              <w:t>1000</w:t>
            </w:r>
          </w:p>
        </w:tc>
        <w:tc>
          <w:tcPr>
            <w:tcW w:w="1313" w:type="dxa"/>
          </w:tcPr>
          <w:p w14:paraId="5213AFCC" w14:textId="77777777" w:rsidR="0061244A" w:rsidRPr="00AF4DF8" w:rsidRDefault="0061244A">
            <w:pPr>
              <w:jc w:val="center"/>
              <w:rPr>
                <w:rFonts w:cs="Times New Roman"/>
                <w:szCs w:val="24"/>
              </w:rPr>
            </w:pPr>
            <w:r w:rsidRPr="00AF4DF8">
              <w:rPr>
                <w:rFonts w:cs="Times New Roman"/>
                <w:szCs w:val="24"/>
              </w:rPr>
              <w:t>1C</w:t>
            </w:r>
          </w:p>
        </w:tc>
        <w:tc>
          <w:tcPr>
            <w:tcW w:w="1331" w:type="dxa"/>
          </w:tcPr>
          <w:p w14:paraId="584BF582" w14:textId="77777777" w:rsidR="0061244A" w:rsidRPr="00AF4DF8" w:rsidRDefault="0061244A">
            <w:pPr>
              <w:jc w:val="center"/>
              <w:rPr>
                <w:rFonts w:cs="Times New Roman"/>
                <w:szCs w:val="24"/>
              </w:rPr>
            </w:pPr>
            <w:r w:rsidRPr="00AF4DF8">
              <w:rPr>
                <w:rFonts w:cs="Times New Roman"/>
                <w:szCs w:val="24"/>
              </w:rPr>
              <w:t>0.1</w:t>
            </w:r>
            <w:r w:rsidRPr="00AF4DF8">
              <w:rPr>
                <w:rFonts w:cs="Times New Roman"/>
                <w:szCs w:val="24"/>
              </w:rPr>
              <w:fldChar w:fldCharType="begin"/>
            </w:r>
            <w:r w:rsidRPr="00AF4DF8">
              <w:rPr>
                <w:rFonts w:cs="Times New Roman"/>
                <w:szCs w:val="24"/>
              </w:rPr>
              <w:instrText xml:space="preserve"> ADDIN ZOTERO_ITEM CSL_CITATION {"citationID":"yAej9tdp","properties":{"formattedCitation":"\\super 4\\nosupersub{}","plainCitation":"4","noteIndex":0},"citationItems":[{"id":58,"uris":["http://zotero.org/users/local/2oCOiX9Z/items/Z5DJVYS3"],"itemData":{"id":58,"type":"article-journal","abstract":"Thick electrode with high-areal-capacity is a practical and promising strategy to increase the energy density of batteries, but development toward thick electrode is limited by the electrochemical performance, mechanical properties, and manufacturing approaches. In this work, we overcome these limitations and report an ultrathick electrode structure, called fiber-aligned thick or FAT electrode, which offers a novel electrode design and a scalable manufacturing strategy for high-areal-capacity battery electrodes. The FAT electrode uses aligned carbon fibers to construct a through-thickness fiber-aligned electrode structure with features of high electrode material loading, low tortuosity, high electrical and thermal conductivity, and good compression property. The low tortuosity of FAT electrode enables fast electrolyte infusion and rapid electron/ion transport, exhibiting a higher capacity retention and lower charge transfer resistance than conventional slurry-casted thick electrode design.","container-title":"Nano Letters","DOI":"10.1021/acs.nanolett.0c02053","ISSN":"1530-6984","issue":"7","journalAbbreviation":"Nano Lett.","note":"publisher: American Chemical Society","page":"5504-5512","source":"ACS Publications","title":"Low Tortuous, Highly Conductive, and High-Areal-Capacity Battery Electrodes Enabled by Through-thickness Aligned Carbon Fiber Framework","volume":"20","author":[{"family":"Shi","given":"Baohui"},{"family":"Shang","given":"Yuanyuan"},{"family":"Pei","given":"Yong"},{"family":"Pei","given":"Shaopeng"},{"family":"Wang","given":"Liyun"},{"family":"Heider","given":"Dirk"},{"family":"Zhao","given":"Yong Y."},{"family":"Zheng","given":"Chaolun"},{"family":"Yang","given":"Bao"},{"family":"Yarlagadda","given":"Shridhar"},{"family":"Chou","given":"Tsu-Wei"},{"family":"Fu","given":"Kun Kelvin"}],"issued":{"date-parts":[["2020",7,8]]}}}],"schema":"https://github.com/citation-style-language/schema/raw/master/csl-citation.json"} </w:instrText>
            </w:r>
            <w:r w:rsidRPr="00AF4DF8">
              <w:rPr>
                <w:rFonts w:cs="Times New Roman"/>
                <w:szCs w:val="24"/>
              </w:rPr>
              <w:fldChar w:fldCharType="separate"/>
            </w:r>
            <w:r w:rsidRPr="00AF4DF8">
              <w:rPr>
                <w:rFonts w:cs="Times New Roman"/>
                <w:szCs w:val="24"/>
                <w:vertAlign w:val="superscript"/>
              </w:rPr>
              <w:t>4</w:t>
            </w:r>
            <w:r w:rsidRPr="00AF4DF8">
              <w:rPr>
                <w:rFonts w:cs="Times New Roman"/>
                <w:szCs w:val="24"/>
              </w:rPr>
              <w:fldChar w:fldCharType="end"/>
            </w:r>
          </w:p>
        </w:tc>
      </w:tr>
      <w:tr w:rsidR="0061244A" w:rsidRPr="00AF4DF8" w14:paraId="46F623F5" w14:textId="77777777" w:rsidTr="005976F2">
        <w:tc>
          <w:tcPr>
            <w:tcW w:w="1328" w:type="dxa"/>
          </w:tcPr>
          <w:p w14:paraId="745E0271" w14:textId="77777777" w:rsidR="0061244A" w:rsidRPr="00AF4DF8" w:rsidRDefault="0061244A">
            <w:pPr>
              <w:jc w:val="center"/>
              <w:rPr>
                <w:rFonts w:cs="Times New Roman"/>
                <w:szCs w:val="24"/>
              </w:rPr>
            </w:pPr>
            <w:r w:rsidRPr="00AF4DF8">
              <w:rPr>
                <w:rFonts w:cs="Times New Roman"/>
                <w:szCs w:val="24"/>
              </w:rPr>
              <w:t>NCM622</w:t>
            </w:r>
          </w:p>
          <w:p w14:paraId="559094DF" w14:textId="77777777" w:rsidR="0061244A" w:rsidRPr="00AF4DF8" w:rsidRDefault="0061244A">
            <w:pPr>
              <w:jc w:val="center"/>
              <w:rPr>
                <w:rFonts w:cs="Times New Roman"/>
                <w:szCs w:val="24"/>
              </w:rPr>
            </w:pPr>
          </w:p>
        </w:tc>
        <w:tc>
          <w:tcPr>
            <w:tcW w:w="1305" w:type="dxa"/>
          </w:tcPr>
          <w:p w14:paraId="26AC178A" w14:textId="77777777" w:rsidR="0061244A" w:rsidRPr="00AF4DF8" w:rsidRDefault="0061244A">
            <w:pPr>
              <w:jc w:val="center"/>
              <w:rPr>
                <w:rFonts w:cs="Times New Roman"/>
                <w:szCs w:val="24"/>
              </w:rPr>
            </w:pPr>
            <w:r w:rsidRPr="00AF4DF8">
              <w:rPr>
                <w:rFonts w:cs="Times New Roman"/>
                <w:szCs w:val="24"/>
              </w:rPr>
              <w:t>Graphite</w:t>
            </w:r>
          </w:p>
        </w:tc>
        <w:tc>
          <w:tcPr>
            <w:tcW w:w="1416" w:type="dxa"/>
          </w:tcPr>
          <w:p w14:paraId="330FCB85" w14:textId="77777777" w:rsidR="0061244A" w:rsidRPr="00AF4DF8" w:rsidRDefault="0061244A">
            <w:pPr>
              <w:jc w:val="center"/>
              <w:rPr>
                <w:rFonts w:cs="Times New Roman"/>
                <w:szCs w:val="24"/>
              </w:rPr>
            </w:pPr>
            <w:r w:rsidRPr="00AF4DF8">
              <w:rPr>
                <w:rFonts w:cs="Times New Roman"/>
                <w:szCs w:val="24"/>
              </w:rPr>
              <w:t>Slurry Cast</w:t>
            </w:r>
          </w:p>
        </w:tc>
        <w:tc>
          <w:tcPr>
            <w:tcW w:w="1326" w:type="dxa"/>
          </w:tcPr>
          <w:p w14:paraId="7FFF849B" w14:textId="77777777" w:rsidR="0061244A" w:rsidRPr="00AF4DF8" w:rsidRDefault="0061244A">
            <w:pPr>
              <w:jc w:val="center"/>
              <w:rPr>
                <w:rFonts w:cs="Times New Roman"/>
                <w:szCs w:val="24"/>
              </w:rPr>
            </w:pPr>
            <w:r w:rsidRPr="00AF4DF8">
              <w:rPr>
                <w:rFonts w:cs="Times New Roman"/>
                <w:szCs w:val="24"/>
              </w:rPr>
              <w:t>19</w:t>
            </w:r>
          </w:p>
        </w:tc>
        <w:tc>
          <w:tcPr>
            <w:tcW w:w="1331" w:type="dxa"/>
          </w:tcPr>
          <w:p w14:paraId="088F1F9B" w14:textId="77777777" w:rsidR="0061244A" w:rsidRPr="00AF4DF8" w:rsidRDefault="0061244A">
            <w:pPr>
              <w:jc w:val="center"/>
              <w:rPr>
                <w:rFonts w:cs="Times New Roman"/>
                <w:szCs w:val="24"/>
              </w:rPr>
            </w:pPr>
            <w:r w:rsidRPr="00AF4DF8">
              <w:rPr>
                <w:rFonts w:cs="Times New Roman"/>
                <w:szCs w:val="24"/>
              </w:rPr>
              <w:t>97</w:t>
            </w:r>
          </w:p>
        </w:tc>
        <w:tc>
          <w:tcPr>
            <w:tcW w:w="1313" w:type="dxa"/>
          </w:tcPr>
          <w:p w14:paraId="75BC22FF" w14:textId="77777777" w:rsidR="0061244A" w:rsidRPr="00AF4DF8" w:rsidRDefault="0061244A">
            <w:pPr>
              <w:jc w:val="center"/>
              <w:rPr>
                <w:rFonts w:cs="Times New Roman"/>
                <w:szCs w:val="24"/>
              </w:rPr>
            </w:pPr>
            <w:r w:rsidRPr="00AF4DF8">
              <w:rPr>
                <w:rFonts w:cs="Times New Roman"/>
                <w:szCs w:val="24"/>
              </w:rPr>
              <w:t>C/3</w:t>
            </w:r>
          </w:p>
        </w:tc>
        <w:tc>
          <w:tcPr>
            <w:tcW w:w="1331" w:type="dxa"/>
          </w:tcPr>
          <w:p w14:paraId="4D97787D" w14:textId="77777777" w:rsidR="0061244A" w:rsidRPr="00AF4DF8" w:rsidRDefault="0061244A">
            <w:pPr>
              <w:jc w:val="center"/>
              <w:rPr>
                <w:rFonts w:cs="Times New Roman"/>
                <w:szCs w:val="24"/>
              </w:rPr>
            </w:pPr>
            <w:r w:rsidRPr="00AF4DF8">
              <w:rPr>
                <w:rFonts w:cs="Times New Roman"/>
                <w:szCs w:val="24"/>
              </w:rPr>
              <w:t>3</w:t>
            </w:r>
            <w:r w:rsidRPr="00AF4DF8">
              <w:rPr>
                <w:rFonts w:cs="Times New Roman"/>
                <w:szCs w:val="24"/>
              </w:rPr>
              <w:fldChar w:fldCharType="begin"/>
            </w:r>
            <w:r w:rsidRPr="00AF4DF8">
              <w:rPr>
                <w:rFonts w:cs="Times New Roman"/>
                <w:szCs w:val="24"/>
              </w:rPr>
              <w:instrText xml:space="preserve"> ADDIN ZOTERO_ITEM CSL_CITATION {"citationID":"WIj4tibn","properties":{"formattedCitation":"\\super 5\\nosupersub{}","plainCitation":"5","noteIndex":0},"citationItems":[{"id":218,"uris":["http://zotero.org/users/local/2oCOiX9Z/items/HB2LBNJD"],"itemData":{"id":218,"type":"article-journal","container-title":"Journal of The Electrochemical Society","DOI":"10.1149/2.0321602jes","ISSN":"1945-7111","issue":"2","journalAbbreviation":"J. Electrochem. Soc.","language":"en","note":"publisher: IOP Publishing","page":"A138","source":"iopscience.iop.org","title":"Optimizing Areal Capacities through Understanding the Limitations of Lithium-Ion Electrodes","volume":"163","author":[{"family":"Gallagher","given":"Kevin G."},{"family":"Trask","given":"Stephen E."},{"family":"Bauer","given":"Christoph"},{"family":"Woehrle","given":"Thomas"},{"family":"Lux","given":"Simon F."},{"family":"Tschech","given":"Matthias"},{"family":"Lamp","given":"Peter"},{"family":"Polzin","given":"Bryant J."},{"family":"Ha","given":"Seungbum"},{"family":"Long","given":"Brandon"},{"family":"Wu","given":"Qingliu"},{"family":"Lu","given":"Wenquan"},{"family":"Dees","given":"Dennis W."},{"family":"Jansen","given":"Andrew N."}],"issued":{"date-parts":[["2015",11,10]]}}}],"schema":"https://github.com/citation-style-language/schema/raw/master/csl-citation.json"} </w:instrText>
            </w:r>
            <w:r w:rsidRPr="00AF4DF8">
              <w:rPr>
                <w:rFonts w:cs="Times New Roman"/>
                <w:szCs w:val="24"/>
              </w:rPr>
              <w:fldChar w:fldCharType="separate"/>
            </w:r>
            <w:r w:rsidRPr="00AF4DF8">
              <w:rPr>
                <w:rFonts w:cs="Times New Roman"/>
                <w:szCs w:val="24"/>
                <w:vertAlign w:val="superscript"/>
              </w:rPr>
              <w:t>5</w:t>
            </w:r>
            <w:r w:rsidRPr="00AF4DF8">
              <w:rPr>
                <w:rFonts w:cs="Times New Roman"/>
                <w:szCs w:val="24"/>
              </w:rPr>
              <w:fldChar w:fldCharType="end"/>
            </w:r>
          </w:p>
        </w:tc>
      </w:tr>
      <w:tr w:rsidR="0061244A" w:rsidRPr="00AF4DF8" w14:paraId="3BB22DA7" w14:textId="77777777" w:rsidTr="005976F2">
        <w:tc>
          <w:tcPr>
            <w:tcW w:w="1328" w:type="dxa"/>
          </w:tcPr>
          <w:p w14:paraId="6BCE51F5" w14:textId="77777777" w:rsidR="0061244A" w:rsidRPr="00AF4DF8" w:rsidRDefault="0061244A">
            <w:pPr>
              <w:jc w:val="center"/>
              <w:rPr>
                <w:rFonts w:cs="Times New Roman"/>
                <w:szCs w:val="24"/>
              </w:rPr>
            </w:pPr>
            <w:r w:rsidRPr="00AF4DF8">
              <w:rPr>
                <w:rFonts w:cs="Times New Roman"/>
                <w:szCs w:val="24"/>
              </w:rPr>
              <w:t>LiFePO</w:t>
            </w:r>
            <w:r w:rsidRPr="00AF4DF8">
              <w:rPr>
                <w:rFonts w:cs="Times New Roman"/>
                <w:szCs w:val="24"/>
                <w:vertAlign w:val="subscript"/>
              </w:rPr>
              <w:t>4</w:t>
            </w:r>
          </w:p>
        </w:tc>
        <w:tc>
          <w:tcPr>
            <w:tcW w:w="1305" w:type="dxa"/>
          </w:tcPr>
          <w:p w14:paraId="652B09AE" w14:textId="77777777" w:rsidR="0061244A" w:rsidRPr="00AF4DF8" w:rsidRDefault="0061244A">
            <w:pPr>
              <w:jc w:val="center"/>
              <w:rPr>
                <w:rFonts w:cs="Times New Roman"/>
                <w:szCs w:val="24"/>
              </w:rPr>
            </w:pPr>
            <w:r w:rsidRPr="00AF4DF8">
              <w:rPr>
                <w:rFonts w:cs="Times New Roman"/>
                <w:szCs w:val="24"/>
              </w:rPr>
              <w:t>Li-metal</w:t>
            </w:r>
          </w:p>
        </w:tc>
        <w:tc>
          <w:tcPr>
            <w:tcW w:w="1416" w:type="dxa"/>
          </w:tcPr>
          <w:p w14:paraId="3F1F44C8" w14:textId="77777777" w:rsidR="0061244A" w:rsidRPr="00AF4DF8" w:rsidRDefault="0061244A">
            <w:pPr>
              <w:jc w:val="center"/>
              <w:rPr>
                <w:rFonts w:cs="Times New Roman"/>
                <w:szCs w:val="24"/>
              </w:rPr>
            </w:pPr>
            <w:r w:rsidRPr="00AF4DF8">
              <w:rPr>
                <w:rFonts w:cs="Times New Roman"/>
                <w:szCs w:val="24"/>
              </w:rPr>
              <w:t>Aligned CF-PCC</w:t>
            </w:r>
            <w:r w:rsidRPr="00AF4DF8">
              <w:rPr>
                <w:rFonts w:cs="Times New Roman"/>
                <w:szCs w:val="24"/>
              </w:rPr>
              <w:br/>
              <w:t>(this work)</w:t>
            </w:r>
          </w:p>
        </w:tc>
        <w:tc>
          <w:tcPr>
            <w:tcW w:w="1326" w:type="dxa"/>
          </w:tcPr>
          <w:p w14:paraId="2D9E8E11" w14:textId="77777777" w:rsidR="0061244A" w:rsidRPr="00AF4DF8" w:rsidRDefault="0061244A">
            <w:pPr>
              <w:jc w:val="center"/>
              <w:rPr>
                <w:rFonts w:cs="Times New Roman"/>
                <w:szCs w:val="24"/>
              </w:rPr>
            </w:pPr>
            <w:r w:rsidRPr="00AF4DF8">
              <w:rPr>
                <w:rFonts w:cs="Times New Roman"/>
                <w:szCs w:val="24"/>
              </w:rPr>
              <w:t>22</w:t>
            </w:r>
          </w:p>
        </w:tc>
        <w:tc>
          <w:tcPr>
            <w:tcW w:w="1331" w:type="dxa"/>
          </w:tcPr>
          <w:p w14:paraId="36BCDABF" w14:textId="77777777" w:rsidR="0061244A" w:rsidRPr="00AF4DF8" w:rsidRDefault="0061244A">
            <w:pPr>
              <w:jc w:val="center"/>
              <w:rPr>
                <w:rFonts w:cs="Times New Roman"/>
                <w:szCs w:val="24"/>
              </w:rPr>
            </w:pPr>
            <w:r w:rsidRPr="00AF4DF8">
              <w:rPr>
                <w:rFonts w:cs="Times New Roman"/>
                <w:szCs w:val="24"/>
              </w:rPr>
              <w:t>500</w:t>
            </w:r>
          </w:p>
        </w:tc>
        <w:tc>
          <w:tcPr>
            <w:tcW w:w="1313" w:type="dxa"/>
          </w:tcPr>
          <w:p w14:paraId="0620B08D" w14:textId="77777777" w:rsidR="0061244A" w:rsidRPr="00AF4DF8" w:rsidRDefault="0061244A">
            <w:pPr>
              <w:jc w:val="center"/>
              <w:rPr>
                <w:rFonts w:cs="Times New Roman"/>
                <w:szCs w:val="24"/>
              </w:rPr>
            </w:pPr>
            <w:r w:rsidRPr="00AF4DF8">
              <w:rPr>
                <w:rFonts w:cs="Times New Roman"/>
                <w:szCs w:val="24"/>
              </w:rPr>
              <w:t>C/3</w:t>
            </w:r>
          </w:p>
        </w:tc>
        <w:tc>
          <w:tcPr>
            <w:tcW w:w="1331" w:type="dxa"/>
          </w:tcPr>
          <w:p w14:paraId="2F21B890" w14:textId="77777777" w:rsidR="0061244A" w:rsidRPr="00AF4DF8" w:rsidRDefault="0061244A">
            <w:pPr>
              <w:jc w:val="center"/>
              <w:rPr>
                <w:rFonts w:cs="Times New Roman"/>
                <w:szCs w:val="24"/>
              </w:rPr>
            </w:pPr>
            <w:r w:rsidRPr="00AF4DF8">
              <w:rPr>
                <w:rFonts w:cs="Times New Roman"/>
                <w:szCs w:val="24"/>
              </w:rPr>
              <w:t>3.0</w:t>
            </w:r>
          </w:p>
        </w:tc>
      </w:tr>
      <w:tr w:rsidR="0061244A" w:rsidRPr="0061244A" w14:paraId="2FFC8E43" w14:textId="77777777" w:rsidTr="005976F2">
        <w:tc>
          <w:tcPr>
            <w:tcW w:w="1328" w:type="dxa"/>
          </w:tcPr>
          <w:p w14:paraId="3D8E2221" w14:textId="77777777" w:rsidR="0061244A" w:rsidRPr="00AF4DF8" w:rsidRDefault="0061244A">
            <w:pPr>
              <w:jc w:val="center"/>
              <w:rPr>
                <w:rFonts w:cs="Times New Roman"/>
                <w:szCs w:val="24"/>
              </w:rPr>
            </w:pPr>
            <w:r w:rsidRPr="00AF4DF8">
              <w:rPr>
                <w:rFonts w:cs="Times New Roman"/>
                <w:szCs w:val="24"/>
              </w:rPr>
              <w:t>LiFePO</w:t>
            </w:r>
            <w:r w:rsidRPr="00AF4DF8">
              <w:rPr>
                <w:rFonts w:cs="Times New Roman"/>
                <w:szCs w:val="24"/>
                <w:vertAlign w:val="subscript"/>
              </w:rPr>
              <w:t>4</w:t>
            </w:r>
          </w:p>
          <w:p w14:paraId="10C02A40" w14:textId="77777777" w:rsidR="0061244A" w:rsidRPr="00AF4DF8" w:rsidRDefault="0061244A">
            <w:pPr>
              <w:jc w:val="center"/>
              <w:rPr>
                <w:rFonts w:cs="Times New Roman"/>
                <w:szCs w:val="24"/>
              </w:rPr>
            </w:pPr>
          </w:p>
        </w:tc>
        <w:tc>
          <w:tcPr>
            <w:tcW w:w="1305" w:type="dxa"/>
          </w:tcPr>
          <w:p w14:paraId="3721A00F" w14:textId="77777777" w:rsidR="0061244A" w:rsidRPr="00AF4DF8" w:rsidRDefault="0061244A">
            <w:pPr>
              <w:jc w:val="center"/>
              <w:rPr>
                <w:rFonts w:cs="Times New Roman"/>
                <w:szCs w:val="24"/>
              </w:rPr>
            </w:pPr>
            <w:r w:rsidRPr="00AF4DF8">
              <w:rPr>
                <w:rFonts w:cs="Times New Roman"/>
                <w:szCs w:val="24"/>
              </w:rPr>
              <w:t>Li-metal</w:t>
            </w:r>
          </w:p>
        </w:tc>
        <w:tc>
          <w:tcPr>
            <w:tcW w:w="1416" w:type="dxa"/>
          </w:tcPr>
          <w:p w14:paraId="20062BE1" w14:textId="77777777" w:rsidR="0061244A" w:rsidRPr="00AF4DF8" w:rsidRDefault="0061244A">
            <w:pPr>
              <w:jc w:val="center"/>
              <w:rPr>
                <w:rFonts w:cs="Times New Roman"/>
                <w:szCs w:val="24"/>
              </w:rPr>
            </w:pPr>
            <w:r w:rsidRPr="00AF4DF8">
              <w:rPr>
                <w:rFonts w:cs="Times New Roman"/>
                <w:szCs w:val="24"/>
              </w:rPr>
              <w:t>Aligned CF-PCC</w:t>
            </w:r>
            <w:r w:rsidRPr="00AF4DF8">
              <w:rPr>
                <w:rFonts w:cs="Times New Roman"/>
                <w:szCs w:val="24"/>
              </w:rPr>
              <w:br/>
              <w:t>(this work)</w:t>
            </w:r>
          </w:p>
        </w:tc>
        <w:tc>
          <w:tcPr>
            <w:tcW w:w="1326" w:type="dxa"/>
          </w:tcPr>
          <w:p w14:paraId="27CE14B5" w14:textId="77777777" w:rsidR="0061244A" w:rsidRPr="00AF4DF8" w:rsidRDefault="0061244A">
            <w:pPr>
              <w:jc w:val="center"/>
              <w:rPr>
                <w:rFonts w:cs="Times New Roman"/>
                <w:szCs w:val="24"/>
              </w:rPr>
            </w:pPr>
            <w:r w:rsidRPr="00AF4DF8">
              <w:rPr>
                <w:rFonts w:cs="Times New Roman"/>
                <w:szCs w:val="24"/>
              </w:rPr>
              <w:t>22</w:t>
            </w:r>
          </w:p>
        </w:tc>
        <w:tc>
          <w:tcPr>
            <w:tcW w:w="1331" w:type="dxa"/>
          </w:tcPr>
          <w:p w14:paraId="27FD1F8C" w14:textId="77777777" w:rsidR="0061244A" w:rsidRPr="00AF4DF8" w:rsidRDefault="0061244A">
            <w:pPr>
              <w:jc w:val="center"/>
              <w:rPr>
                <w:rFonts w:cs="Times New Roman"/>
                <w:szCs w:val="24"/>
              </w:rPr>
            </w:pPr>
            <w:r w:rsidRPr="00AF4DF8">
              <w:rPr>
                <w:rFonts w:cs="Times New Roman"/>
                <w:szCs w:val="24"/>
              </w:rPr>
              <w:t>500</w:t>
            </w:r>
          </w:p>
        </w:tc>
        <w:tc>
          <w:tcPr>
            <w:tcW w:w="1313" w:type="dxa"/>
          </w:tcPr>
          <w:p w14:paraId="34B015C0" w14:textId="77777777" w:rsidR="0061244A" w:rsidRPr="00AF4DF8" w:rsidRDefault="0061244A">
            <w:pPr>
              <w:jc w:val="center"/>
              <w:rPr>
                <w:rFonts w:cs="Times New Roman"/>
                <w:szCs w:val="24"/>
              </w:rPr>
            </w:pPr>
            <w:r w:rsidRPr="00AF4DF8">
              <w:rPr>
                <w:rFonts w:cs="Times New Roman"/>
                <w:szCs w:val="24"/>
              </w:rPr>
              <w:t>1C</w:t>
            </w:r>
          </w:p>
        </w:tc>
        <w:tc>
          <w:tcPr>
            <w:tcW w:w="1331" w:type="dxa"/>
          </w:tcPr>
          <w:p w14:paraId="623F430F" w14:textId="77777777" w:rsidR="0061244A" w:rsidRPr="0061244A" w:rsidRDefault="0061244A">
            <w:pPr>
              <w:jc w:val="center"/>
              <w:rPr>
                <w:rFonts w:cs="Times New Roman"/>
                <w:szCs w:val="24"/>
              </w:rPr>
            </w:pPr>
            <w:r w:rsidRPr="00AF4DF8">
              <w:rPr>
                <w:rFonts w:cs="Times New Roman"/>
                <w:szCs w:val="24"/>
              </w:rPr>
              <w:t>2.6</w:t>
            </w:r>
          </w:p>
        </w:tc>
      </w:tr>
    </w:tbl>
    <w:p w14:paraId="5F5893E3" w14:textId="77777777" w:rsidR="008D6182" w:rsidRDefault="008D6182" w:rsidP="00115103">
      <w:pPr>
        <w:jc w:val="both"/>
        <w:rPr>
          <w:rFonts w:cs="Times New Roman"/>
          <w:color w:val="4F81BD" w:themeColor="accent1"/>
          <w:szCs w:val="24"/>
        </w:rPr>
      </w:pPr>
    </w:p>
    <w:p w14:paraId="3D77363D" w14:textId="77777777" w:rsidR="008D6182" w:rsidRPr="008D6182" w:rsidRDefault="008D6182" w:rsidP="008D6182">
      <w:pPr>
        <w:pStyle w:val="Bibliography"/>
        <w:rPr>
          <w:rFonts w:cs="Times New Roman"/>
        </w:rPr>
      </w:pPr>
      <w:r>
        <w:rPr>
          <w:color w:val="4F81BD" w:themeColor="accent1"/>
        </w:rPr>
        <w:fldChar w:fldCharType="begin"/>
      </w:r>
      <w:r>
        <w:rPr>
          <w:color w:val="4F81BD" w:themeColor="accent1"/>
        </w:rPr>
        <w:instrText xml:space="preserve"> ADDIN ZOTERO_BIBL {"uncited":[],"omitted":[],"custom":[]} CSL_BIBLIOGRAPHY </w:instrText>
      </w:r>
      <w:r>
        <w:rPr>
          <w:color w:val="4F81BD" w:themeColor="accent1"/>
        </w:rPr>
        <w:fldChar w:fldCharType="separate"/>
      </w:r>
      <w:r w:rsidRPr="008D6182">
        <w:rPr>
          <w:rFonts w:cs="Times New Roman"/>
        </w:rPr>
        <w:t>1.</w:t>
      </w:r>
      <w:r w:rsidRPr="008D6182">
        <w:rPr>
          <w:rFonts w:cs="Times New Roman"/>
        </w:rPr>
        <w:tab/>
        <w:t xml:space="preserve">Mangang, M., Seifert, H. J. &amp; Pfleging, W. Influence of laser pulse duration on the electrochemical performance of laser structured LiFePO4 composite electrodes. </w:t>
      </w:r>
      <w:r w:rsidRPr="008D6182">
        <w:rPr>
          <w:rFonts w:cs="Times New Roman"/>
          <w:i/>
          <w:iCs/>
        </w:rPr>
        <w:t>Journal of Power Sources</w:t>
      </w:r>
      <w:r w:rsidRPr="008D6182">
        <w:rPr>
          <w:rFonts w:cs="Times New Roman"/>
        </w:rPr>
        <w:t xml:space="preserve"> </w:t>
      </w:r>
      <w:r w:rsidRPr="008D6182">
        <w:rPr>
          <w:rFonts w:cs="Times New Roman"/>
          <w:b/>
          <w:bCs/>
        </w:rPr>
        <w:t>304</w:t>
      </w:r>
      <w:r w:rsidRPr="008D6182">
        <w:rPr>
          <w:rFonts w:cs="Times New Roman"/>
        </w:rPr>
        <w:t>, 24–32 (2016).</w:t>
      </w:r>
    </w:p>
    <w:p w14:paraId="2168A6B7" w14:textId="77777777" w:rsidR="008D6182" w:rsidRPr="008D6182" w:rsidRDefault="008D6182" w:rsidP="008D6182">
      <w:pPr>
        <w:pStyle w:val="Bibliography"/>
        <w:rPr>
          <w:rFonts w:cs="Times New Roman"/>
        </w:rPr>
      </w:pPr>
      <w:r w:rsidRPr="008D6182">
        <w:rPr>
          <w:rFonts w:cs="Times New Roman"/>
        </w:rPr>
        <w:t>2.</w:t>
      </w:r>
      <w:r w:rsidRPr="008D6182">
        <w:rPr>
          <w:rFonts w:cs="Times New Roman"/>
        </w:rPr>
        <w:tab/>
        <w:t xml:space="preserve">Zheng, H., Li, J., Song, X., Liu, G. &amp; Battaglia, V. S. A comprehensive understanding of electrode thickness effects on the electrochemical performances of Li-ion battery cathodes. </w:t>
      </w:r>
      <w:r w:rsidRPr="008D6182">
        <w:rPr>
          <w:rFonts w:cs="Times New Roman"/>
          <w:i/>
          <w:iCs/>
        </w:rPr>
        <w:t>Electrochimica Acta</w:t>
      </w:r>
      <w:r w:rsidRPr="008D6182">
        <w:rPr>
          <w:rFonts w:cs="Times New Roman"/>
        </w:rPr>
        <w:t xml:space="preserve"> </w:t>
      </w:r>
      <w:r w:rsidRPr="008D6182">
        <w:rPr>
          <w:rFonts w:cs="Times New Roman"/>
          <w:b/>
          <w:bCs/>
        </w:rPr>
        <w:t>71</w:t>
      </w:r>
      <w:r w:rsidRPr="008D6182">
        <w:rPr>
          <w:rFonts w:cs="Times New Roman"/>
        </w:rPr>
        <w:t>, 258–265 (2012).</w:t>
      </w:r>
    </w:p>
    <w:p w14:paraId="46D08B2E" w14:textId="77777777" w:rsidR="008D6182" w:rsidRPr="008D6182" w:rsidRDefault="008D6182" w:rsidP="008D6182">
      <w:pPr>
        <w:pStyle w:val="Bibliography"/>
        <w:rPr>
          <w:rFonts w:cs="Times New Roman"/>
        </w:rPr>
      </w:pPr>
      <w:r w:rsidRPr="008D6182">
        <w:rPr>
          <w:rFonts w:cs="Times New Roman"/>
        </w:rPr>
        <w:t>3.</w:t>
      </w:r>
      <w:r w:rsidRPr="008D6182">
        <w:rPr>
          <w:rFonts w:cs="Times New Roman"/>
        </w:rPr>
        <w:tab/>
        <w:t xml:space="preserve">Chen, C. </w:t>
      </w:r>
      <w:r w:rsidRPr="008D6182">
        <w:rPr>
          <w:rFonts w:cs="Times New Roman"/>
          <w:i/>
          <w:iCs/>
        </w:rPr>
        <w:t>et al.</w:t>
      </w:r>
      <w:r w:rsidRPr="008D6182">
        <w:rPr>
          <w:rFonts w:cs="Times New Roman"/>
        </w:rPr>
        <w:t xml:space="preserve"> Highly Conductive, Lightweight, Low-Tortuosity Carbon Frameworks as Ultrathick 3D Current Collectors. </w:t>
      </w:r>
      <w:r w:rsidRPr="008D6182">
        <w:rPr>
          <w:rFonts w:cs="Times New Roman"/>
          <w:i/>
          <w:iCs/>
        </w:rPr>
        <w:t>Advanced Energy Materials</w:t>
      </w:r>
      <w:r w:rsidRPr="008D6182">
        <w:rPr>
          <w:rFonts w:cs="Times New Roman"/>
        </w:rPr>
        <w:t xml:space="preserve"> </w:t>
      </w:r>
      <w:r w:rsidRPr="008D6182">
        <w:rPr>
          <w:rFonts w:cs="Times New Roman"/>
          <w:b/>
          <w:bCs/>
        </w:rPr>
        <w:t>7</w:t>
      </w:r>
      <w:r w:rsidRPr="008D6182">
        <w:rPr>
          <w:rFonts w:cs="Times New Roman"/>
        </w:rPr>
        <w:t>, 1700595 (2017).</w:t>
      </w:r>
    </w:p>
    <w:p w14:paraId="49782F3D" w14:textId="77777777" w:rsidR="008D6182" w:rsidRPr="008D6182" w:rsidRDefault="008D6182" w:rsidP="008D6182">
      <w:pPr>
        <w:pStyle w:val="Bibliography"/>
        <w:rPr>
          <w:rFonts w:cs="Times New Roman"/>
        </w:rPr>
      </w:pPr>
      <w:r w:rsidRPr="008D6182">
        <w:rPr>
          <w:rFonts w:cs="Times New Roman"/>
        </w:rPr>
        <w:t>4.</w:t>
      </w:r>
      <w:r w:rsidRPr="008D6182">
        <w:rPr>
          <w:rFonts w:cs="Times New Roman"/>
        </w:rPr>
        <w:tab/>
        <w:t xml:space="preserve">Shi, B. </w:t>
      </w:r>
      <w:r w:rsidRPr="008D6182">
        <w:rPr>
          <w:rFonts w:cs="Times New Roman"/>
          <w:i/>
          <w:iCs/>
        </w:rPr>
        <w:t>et al.</w:t>
      </w:r>
      <w:r w:rsidRPr="008D6182">
        <w:rPr>
          <w:rFonts w:cs="Times New Roman"/>
        </w:rPr>
        <w:t xml:space="preserve"> Low Tortuous, Highly Conductive, and High-Areal-Capacity Battery Electrodes Enabled by Through-thickness Aligned Carbon Fiber Framework. </w:t>
      </w:r>
      <w:r w:rsidRPr="008D6182">
        <w:rPr>
          <w:rFonts w:cs="Times New Roman"/>
          <w:i/>
          <w:iCs/>
        </w:rPr>
        <w:t>Nano Lett.</w:t>
      </w:r>
      <w:r w:rsidRPr="008D6182">
        <w:rPr>
          <w:rFonts w:cs="Times New Roman"/>
        </w:rPr>
        <w:t xml:space="preserve"> </w:t>
      </w:r>
      <w:r w:rsidRPr="008D6182">
        <w:rPr>
          <w:rFonts w:cs="Times New Roman"/>
          <w:b/>
          <w:bCs/>
        </w:rPr>
        <w:t>20</w:t>
      </w:r>
      <w:r w:rsidRPr="008D6182">
        <w:rPr>
          <w:rFonts w:cs="Times New Roman"/>
        </w:rPr>
        <w:t>, 5504–5512 (2020).</w:t>
      </w:r>
    </w:p>
    <w:p w14:paraId="22B91499" w14:textId="77777777" w:rsidR="008D6182" w:rsidRPr="008D6182" w:rsidRDefault="008D6182" w:rsidP="008D6182">
      <w:pPr>
        <w:pStyle w:val="Bibliography"/>
        <w:rPr>
          <w:rFonts w:cs="Times New Roman"/>
        </w:rPr>
      </w:pPr>
      <w:r w:rsidRPr="008D6182">
        <w:rPr>
          <w:rFonts w:cs="Times New Roman"/>
        </w:rPr>
        <w:t>5.</w:t>
      </w:r>
      <w:r w:rsidRPr="008D6182">
        <w:rPr>
          <w:rFonts w:cs="Times New Roman"/>
        </w:rPr>
        <w:tab/>
        <w:t xml:space="preserve">Gallagher, K. G. </w:t>
      </w:r>
      <w:r w:rsidRPr="008D6182">
        <w:rPr>
          <w:rFonts w:cs="Times New Roman"/>
          <w:i/>
          <w:iCs/>
        </w:rPr>
        <w:t>et al.</w:t>
      </w:r>
      <w:r w:rsidRPr="008D6182">
        <w:rPr>
          <w:rFonts w:cs="Times New Roman"/>
        </w:rPr>
        <w:t xml:space="preserve"> Optimizing Areal Capacities through Understanding the Limitations of Lithium-Ion Electrodes. </w:t>
      </w:r>
      <w:r w:rsidRPr="008D6182">
        <w:rPr>
          <w:rFonts w:cs="Times New Roman"/>
          <w:i/>
          <w:iCs/>
        </w:rPr>
        <w:t>J. Electrochem. Soc.</w:t>
      </w:r>
      <w:r w:rsidRPr="008D6182">
        <w:rPr>
          <w:rFonts w:cs="Times New Roman"/>
        </w:rPr>
        <w:t xml:space="preserve"> </w:t>
      </w:r>
      <w:r w:rsidRPr="008D6182">
        <w:rPr>
          <w:rFonts w:cs="Times New Roman"/>
          <w:b/>
          <w:bCs/>
        </w:rPr>
        <w:t>163</w:t>
      </w:r>
      <w:r w:rsidRPr="008D6182">
        <w:rPr>
          <w:rFonts w:cs="Times New Roman"/>
        </w:rPr>
        <w:t>, A138 (2015).</w:t>
      </w:r>
    </w:p>
    <w:p w14:paraId="7B65BC41" w14:textId="37EBFBB0" w:rsidR="00DE23E8" w:rsidRPr="001549D3" w:rsidRDefault="008D6182" w:rsidP="0061244A">
      <w:pPr>
        <w:jc w:val="center"/>
      </w:pPr>
      <w:r>
        <w:rPr>
          <w:rFonts w:cs="Times New Roman"/>
          <w:color w:val="4F81BD" w:themeColor="accent1"/>
          <w:szCs w:val="24"/>
        </w:rPr>
        <w:fldChar w:fldCharType="end"/>
      </w:r>
      <w:r w:rsidR="0061244A" w:rsidRPr="001549D3">
        <w:t xml:space="preserve"> </w:t>
      </w:r>
    </w:p>
    <w:sectPr w:rsidR="00DE23E8" w:rsidRPr="001549D3"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1FD7F" w14:textId="77777777" w:rsidR="008315D3" w:rsidRDefault="008315D3" w:rsidP="00117666">
      <w:pPr>
        <w:spacing w:after="0"/>
      </w:pPr>
      <w:r>
        <w:separator/>
      </w:r>
    </w:p>
  </w:endnote>
  <w:endnote w:type="continuationSeparator" w:id="0">
    <w:p w14:paraId="03A59BD8" w14:textId="77777777" w:rsidR="008315D3" w:rsidRDefault="008315D3" w:rsidP="00117666">
      <w:pPr>
        <w:spacing w:after="0"/>
      </w:pPr>
      <w:r>
        <w:continuationSeparator/>
      </w:r>
    </w:p>
  </w:endnote>
  <w:endnote w:type="continuationNotice" w:id="1">
    <w:p w14:paraId="6DFF72F1" w14:textId="77777777" w:rsidR="008315D3" w:rsidRDefault="008315D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825DBB" w:rsidRPr="00577C4C" w:rsidRDefault="00C52A7B">
    <w:pPr>
      <w:rPr>
        <w:color w:val="C00000"/>
        <w:szCs w:val="24"/>
      </w:rPr>
    </w:pPr>
    <w:r>
      <w:rPr>
        <w:noProof/>
        <w:lang w:val="en-GB" w:eastAsia="en-GB"/>
      </w:rPr>
      <mc:AlternateContent>
        <mc:Choice Requires="wps">
          <w:drawing>
            <wp:anchor distT="0" distB="0" distL="114300" distR="114300" simplePos="0" relativeHeight="251658241"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825DB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40700C"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825DBB" w:rsidRPr="00577C4C" w:rsidRDefault="00C52A7B">
    <w:pPr>
      <w:rPr>
        <w:b/>
        <w:sz w:val="20"/>
        <w:szCs w:val="24"/>
      </w:rPr>
    </w:pPr>
    <w:r>
      <w:rPr>
        <w:noProof/>
        <w:lang w:val="en-GB" w:eastAsia="en-GB"/>
      </w:rPr>
      <mc:AlternateContent>
        <mc:Choice Requires="wps">
          <w:drawing>
            <wp:anchor distT="0" distB="0" distL="114300" distR="114300" simplePos="0" relativeHeight="251658240"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825DB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40700C"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9D0A0" w14:textId="77777777" w:rsidR="008315D3" w:rsidRDefault="008315D3" w:rsidP="00117666">
      <w:pPr>
        <w:spacing w:after="0"/>
      </w:pPr>
      <w:r>
        <w:separator/>
      </w:r>
    </w:p>
  </w:footnote>
  <w:footnote w:type="continuationSeparator" w:id="0">
    <w:p w14:paraId="5AC020A3" w14:textId="77777777" w:rsidR="008315D3" w:rsidRDefault="008315D3" w:rsidP="00117666">
      <w:pPr>
        <w:spacing w:after="0"/>
      </w:pPr>
      <w:r>
        <w:continuationSeparator/>
      </w:r>
    </w:p>
  </w:footnote>
  <w:footnote w:type="continuationNotice" w:id="1">
    <w:p w14:paraId="7A4EE23A" w14:textId="77777777" w:rsidR="008315D3" w:rsidRDefault="008315D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825DBB"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825DBB"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F1887B06"/>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111557228">
    <w:abstractNumId w:val="0"/>
  </w:num>
  <w:num w:numId="2" w16cid:durableId="403189210">
    <w:abstractNumId w:val="4"/>
  </w:num>
  <w:num w:numId="3" w16cid:durableId="1782917056">
    <w:abstractNumId w:val="1"/>
  </w:num>
  <w:num w:numId="4" w16cid:durableId="1498418621">
    <w:abstractNumId w:val="5"/>
  </w:num>
  <w:num w:numId="5" w16cid:durableId="1106387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43420942">
    <w:abstractNumId w:val="3"/>
  </w:num>
  <w:num w:numId="7" w16cid:durableId="105345399">
    <w:abstractNumId w:val="6"/>
  </w:num>
  <w:num w:numId="8" w16cid:durableId="1582643272">
    <w:abstractNumId w:val="6"/>
  </w:num>
  <w:num w:numId="9" w16cid:durableId="1839999079">
    <w:abstractNumId w:val="6"/>
  </w:num>
  <w:num w:numId="10" w16cid:durableId="1616865927">
    <w:abstractNumId w:val="6"/>
  </w:num>
  <w:num w:numId="11" w16cid:durableId="1079644212">
    <w:abstractNumId w:val="6"/>
  </w:num>
  <w:num w:numId="12" w16cid:durableId="1251740778">
    <w:abstractNumId w:val="6"/>
  </w:num>
  <w:num w:numId="13" w16cid:durableId="2127385708">
    <w:abstractNumId w:val="3"/>
  </w:num>
  <w:num w:numId="14" w16cid:durableId="376976957">
    <w:abstractNumId w:val="2"/>
  </w:num>
  <w:num w:numId="15" w16cid:durableId="282007218">
    <w:abstractNumId w:val="2"/>
  </w:num>
  <w:num w:numId="16" w16cid:durableId="895895244">
    <w:abstractNumId w:val="2"/>
  </w:num>
  <w:num w:numId="17" w16cid:durableId="2063946078">
    <w:abstractNumId w:val="2"/>
  </w:num>
  <w:num w:numId="18" w16cid:durableId="161822711">
    <w:abstractNumId w:val="2"/>
  </w:num>
  <w:num w:numId="19" w16cid:durableId="1545096964">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20" w16cid:durableId="1984508062">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192D"/>
    <w:rsid w:val="0001436A"/>
    <w:rsid w:val="00025C80"/>
    <w:rsid w:val="00034304"/>
    <w:rsid w:val="00035434"/>
    <w:rsid w:val="00052A14"/>
    <w:rsid w:val="00057BA8"/>
    <w:rsid w:val="00077D53"/>
    <w:rsid w:val="0008735F"/>
    <w:rsid w:val="000A5726"/>
    <w:rsid w:val="000E156B"/>
    <w:rsid w:val="000E6B6A"/>
    <w:rsid w:val="00105FD9"/>
    <w:rsid w:val="00107815"/>
    <w:rsid w:val="00112D19"/>
    <w:rsid w:val="00115103"/>
    <w:rsid w:val="00117666"/>
    <w:rsid w:val="00134D5A"/>
    <w:rsid w:val="001377C5"/>
    <w:rsid w:val="001549D3"/>
    <w:rsid w:val="00160065"/>
    <w:rsid w:val="00177D84"/>
    <w:rsid w:val="00194C02"/>
    <w:rsid w:val="001B21C5"/>
    <w:rsid w:val="00213943"/>
    <w:rsid w:val="002270F7"/>
    <w:rsid w:val="0023668C"/>
    <w:rsid w:val="00246FE6"/>
    <w:rsid w:val="00267D18"/>
    <w:rsid w:val="00274347"/>
    <w:rsid w:val="0027591F"/>
    <w:rsid w:val="00282AD0"/>
    <w:rsid w:val="002868E2"/>
    <w:rsid w:val="002869C3"/>
    <w:rsid w:val="002936E4"/>
    <w:rsid w:val="002B4A57"/>
    <w:rsid w:val="002C4333"/>
    <w:rsid w:val="002C74CA"/>
    <w:rsid w:val="002F7490"/>
    <w:rsid w:val="00300A5C"/>
    <w:rsid w:val="00300FBC"/>
    <w:rsid w:val="003123F4"/>
    <w:rsid w:val="00336940"/>
    <w:rsid w:val="003427DE"/>
    <w:rsid w:val="003544FB"/>
    <w:rsid w:val="00377273"/>
    <w:rsid w:val="003D0211"/>
    <w:rsid w:val="003D2F2D"/>
    <w:rsid w:val="003E00BB"/>
    <w:rsid w:val="00401590"/>
    <w:rsid w:val="00447801"/>
    <w:rsid w:val="00450BE0"/>
    <w:rsid w:val="00452E9C"/>
    <w:rsid w:val="004735C8"/>
    <w:rsid w:val="00487E23"/>
    <w:rsid w:val="004947A6"/>
    <w:rsid w:val="004961FF"/>
    <w:rsid w:val="00517A89"/>
    <w:rsid w:val="005250F2"/>
    <w:rsid w:val="0052558A"/>
    <w:rsid w:val="005273E4"/>
    <w:rsid w:val="005326C5"/>
    <w:rsid w:val="00593EEA"/>
    <w:rsid w:val="005976F2"/>
    <w:rsid w:val="005A1842"/>
    <w:rsid w:val="005A5EEE"/>
    <w:rsid w:val="005C36D4"/>
    <w:rsid w:val="005C7B7D"/>
    <w:rsid w:val="005D6DB2"/>
    <w:rsid w:val="005F134E"/>
    <w:rsid w:val="005F2616"/>
    <w:rsid w:val="0061244A"/>
    <w:rsid w:val="00630C01"/>
    <w:rsid w:val="006375C7"/>
    <w:rsid w:val="00654E8F"/>
    <w:rsid w:val="00660D05"/>
    <w:rsid w:val="00680A7F"/>
    <w:rsid w:val="006820B1"/>
    <w:rsid w:val="006B7D14"/>
    <w:rsid w:val="006C7058"/>
    <w:rsid w:val="006E1777"/>
    <w:rsid w:val="007011FB"/>
    <w:rsid w:val="00701727"/>
    <w:rsid w:val="0070566C"/>
    <w:rsid w:val="007116BC"/>
    <w:rsid w:val="00714C50"/>
    <w:rsid w:val="00724060"/>
    <w:rsid w:val="00725A7D"/>
    <w:rsid w:val="007501BE"/>
    <w:rsid w:val="00776357"/>
    <w:rsid w:val="007823EB"/>
    <w:rsid w:val="00790BB3"/>
    <w:rsid w:val="007C206C"/>
    <w:rsid w:val="007C4B81"/>
    <w:rsid w:val="007C6A5A"/>
    <w:rsid w:val="007D1AD6"/>
    <w:rsid w:val="00806684"/>
    <w:rsid w:val="00817DD6"/>
    <w:rsid w:val="00825DBB"/>
    <w:rsid w:val="008315D3"/>
    <w:rsid w:val="0083759F"/>
    <w:rsid w:val="00852B91"/>
    <w:rsid w:val="00885156"/>
    <w:rsid w:val="00892964"/>
    <w:rsid w:val="008C06B4"/>
    <w:rsid w:val="008D6182"/>
    <w:rsid w:val="008E4B56"/>
    <w:rsid w:val="0090264E"/>
    <w:rsid w:val="009151AA"/>
    <w:rsid w:val="00915A6A"/>
    <w:rsid w:val="00931C6B"/>
    <w:rsid w:val="0093429D"/>
    <w:rsid w:val="00943573"/>
    <w:rsid w:val="009451F8"/>
    <w:rsid w:val="009509CB"/>
    <w:rsid w:val="00964134"/>
    <w:rsid w:val="00970F7D"/>
    <w:rsid w:val="00980F3C"/>
    <w:rsid w:val="00994A3D"/>
    <w:rsid w:val="009B3A78"/>
    <w:rsid w:val="009C2B12"/>
    <w:rsid w:val="009D2D16"/>
    <w:rsid w:val="009E5C00"/>
    <w:rsid w:val="00A174D9"/>
    <w:rsid w:val="00A36DD0"/>
    <w:rsid w:val="00A40DAE"/>
    <w:rsid w:val="00AA4D24"/>
    <w:rsid w:val="00AB6715"/>
    <w:rsid w:val="00AE4A63"/>
    <w:rsid w:val="00AE65C7"/>
    <w:rsid w:val="00AF4DF8"/>
    <w:rsid w:val="00B1671E"/>
    <w:rsid w:val="00B23E75"/>
    <w:rsid w:val="00B25EB8"/>
    <w:rsid w:val="00B37F4D"/>
    <w:rsid w:val="00B45978"/>
    <w:rsid w:val="00B959E1"/>
    <w:rsid w:val="00BA4E4C"/>
    <w:rsid w:val="00BC2F30"/>
    <w:rsid w:val="00C52A7B"/>
    <w:rsid w:val="00C56BAF"/>
    <w:rsid w:val="00C679AA"/>
    <w:rsid w:val="00C75972"/>
    <w:rsid w:val="00CA61D1"/>
    <w:rsid w:val="00CD066B"/>
    <w:rsid w:val="00CE4FEE"/>
    <w:rsid w:val="00CF1A10"/>
    <w:rsid w:val="00D060CF"/>
    <w:rsid w:val="00D40DFC"/>
    <w:rsid w:val="00D41298"/>
    <w:rsid w:val="00DB59C3"/>
    <w:rsid w:val="00DC259A"/>
    <w:rsid w:val="00DC3556"/>
    <w:rsid w:val="00DE23E8"/>
    <w:rsid w:val="00E25B75"/>
    <w:rsid w:val="00E40D9D"/>
    <w:rsid w:val="00E52377"/>
    <w:rsid w:val="00E537AD"/>
    <w:rsid w:val="00E64E17"/>
    <w:rsid w:val="00E866C9"/>
    <w:rsid w:val="00EA3D3C"/>
    <w:rsid w:val="00EB5A7F"/>
    <w:rsid w:val="00EC090A"/>
    <w:rsid w:val="00ED20B5"/>
    <w:rsid w:val="00ED5B77"/>
    <w:rsid w:val="00EE3646"/>
    <w:rsid w:val="00F06C73"/>
    <w:rsid w:val="00F14678"/>
    <w:rsid w:val="00F203BA"/>
    <w:rsid w:val="00F46900"/>
    <w:rsid w:val="00F61D89"/>
    <w:rsid w:val="00F80F50"/>
    <w:rsid w:val="00F81DE6"/>
    <w:rsid w:val="00FA4030"/>
    <w:rsid w:val="00FB25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B94A"/>
  <w14:defaultImageDpi w14:val="330"/>
  <w15:docId w15:val="{35847027-4B40-4F74-873D-77F889A83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20"/>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20"/>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styleId="PlaceholderText">
    <w:name w:val="Placeholder Text"/>
    <w:basedOn w:val="DefaultParagraphFont"/>
    <w:uiPriority w:val="99"/>
    <w:semiHidden/>
    <w:rsid w:val="005C36D4"/>
    <w:rPr>
      <w:color w:val="808080"/>
    </w:rPr>
  </w:style>
  <w:style w:type="paragraph" w:styleId="Bibliography">
    <w:name w:val="Bibliography"/>
    <w:basedOn w:val="Normal"/>
    <w:next w:val="Normal"/>
    <w:uiPriority w:val="37"/>
    <w:unhideWhenUsed/>
    <w:rsid w:val="008D6182"/>
    <w:pPr>
      <w:tabs>
        <w:tab w:val="left" w:pos="264"/>
      </w:tabs>
      <w:spacing w:after="0"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48</TotalTime>
  <Pages>8</Pages>
  <Words>553</Words>
  <Characters>3104</Characters>
  <Application>Microsoft Office Word</Application>
  <DocSecurity>0</DocSecurity>
  <Lines>154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cp:keywords/>
  <cp:lastModifiedBy>Martin Nguyen</cp:lastModifiedBy>
  <cp:revision>27</cp:revision>
  <cp:lastPrinted>2013-10-03T13:51:00Z</cp:lastPrinted>
  <dcterms:created xsi:type="dcterms:W3CDTF">2023-04-26T18:43:00Z</dcterms:created>
  <dcterms:modified xsi:type="dcterms:W3CDTF">2023-11-16T18:09:00Z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id="AYrRScuW"/&gt;&lt;style id="http://www.zotero.org/styles/nature" hasBibliography="1" bibliographyStyleHasBeenSet="1"/&gt;&lt;prefs&gt;&lt;pref name="fieldType" value="Field"/&gt;&lt;/prefs&gt;&lt;/data&gt;</vt:lpwstr>
  </property>
  <property fmtid="{D5CDD505-2E9C-101B-9397-08002B2CF9AE}" pid="3" name="GrammarlyDocumentId">
    <vt:lpwstr>d6aa854a6b5162d9f62be13eca921f5fc2e3b4e5315c6319b0712d5189d19227</vt:lpwstr>
  </property>
</Properties>
</file>