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C8C6" w14:textId="7D1D47E2" w:rsidR="00E86CE1" w:rsidRPr="00E86CE1" w:rsidRDefault="00E86CE1" w:rsidP="00E86CE1">
      <w:pPr>
        <w:jc w:val="center"/>
        <w:rPr>
          <w:sz w:val="32"/>
          <w:szCs w:val="32"/>
        </w:rPr>
      </w:pPr>
      <w:r w:rsidRPr="00E86CE1">
        <w:rPr>
          <w:sz w:val="32"/>
          <w:szCs w:val="32"/>
        </w:rPr>
        <w:t xml:space="preserve">Clinicopathologic variables associated with </w:t>
      </w:r>
      <w:r w:rsidRPr="00E86CE1">
        <w:rPr>
          <w:sz w:val="32"/>
          <w:szCs w:val="32"/>
        </w:rPr>
        <w:t>TARS1</w:t>
      </w:r>
      <w:r w:rsidRPr="00E86CE1">
        <w:rPr>
          <w:sz w:val="32"/>
          <w:szCs w:val="32"/>
        </w:rPr>
        <w:t xml:space="preserve"> expression</w:t>
      </w:r>
    </w:p>
    <w:p w14:paraId="1AF30E8F" w14:textId="77777777" w:rsidR="00E86CE1" w:rsidRDefault="00E86CE1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552"/>
        <w:gridCol w:w="1728"/>
        <w:gridCol w:w="1728"/>
        <w:gridCol w:w="1016"/>
      </w:tblGrid>
      <w:tr w:rsidR="004E4A39" w14:paraId="39FD253F" w14:textId="77777777">
        <w:trPr>
          <w:cantSplit/>
          <w:tblHeader/>
          <w:jc w:val="center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0D7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A98E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Low expression of TARS1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9B2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High expression of TARS1</w:t>
            </w: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117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</w:t>
            </w:r>
          </w:p>
        </w:tc>
      </w:tr>
      <w:tr w:rsidR="004E4A39" w14:paraId="128C35F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ABC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5BC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293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7B0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04F22D1C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AD2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T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9C82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190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918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0.026</w:t>
            </w:r>
          </w:p>
        </w:tc>
      </w:tr>
      <w:tr w:rsidR="004E4A39" w14:paraId="660C191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33D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4A9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151 (14%)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BAF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126 (11.7%)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07A4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109E129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3A2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F038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302 (28%)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462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327 (30.3%)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D7CE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F650354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CE3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ED0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76 (7%)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EA7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63 (5.8%)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285A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7665D3BF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601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438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11 (1%)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439E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24 (2.2%)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9A2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10C2F8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338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D861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DC80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FD7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0.049</w:t>
            </w:r>
          </w:p>
        </w:tc>
      </w:tr>
      <w:tr w:rsidR="004E4A39" w14:paraId="52DBFB5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16D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320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256 (24.1%)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6DE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258 (24.2%)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AFE0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2EAC38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1A9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093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187 (17.6%)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42F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171 (16.1%)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0294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39BD111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E59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BFB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45 (4.2%)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40E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71 (6.7%)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9AD6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D7EB25B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646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741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43 (4%)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A5C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33 (3.1%)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6976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1FDE5C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026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363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74B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1B58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0.360</w:t>
            </w:r>
          </w:p>
        </w:tc>
      </w:tr>
      <w:tr w:rsidR="004E4A39" w14:paraId="3962E77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987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297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432 (46.9%)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62B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470 (51%)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238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428DAC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3F2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B31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 (0.8%)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11A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13 (1.4%)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47F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3B062CB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CA2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Pathologic stage,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38A6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032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00F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0.498</w:t>
            </w:r>
          </w:p>
        </w:tc>
      </w:tr>
      <w:tr w:rsidR="004E4A39" w14:paraId="0F5BFCD3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D5C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Stage 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C01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98 (9.2%)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A7F8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83 (7.8%)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BEF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E66EEA4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DE2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Stage 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69A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312 (29.4%)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51C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307 (29%)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5A3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7E8ACA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D58E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Stage III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97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117 (11%)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952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125 (11.8%)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2F1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00AD3F4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535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Stage IV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E296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 (0.7%)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4DE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11 (1%)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DC8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826F9AD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237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Race,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4E52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5B36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DBA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0.217</w:t>
            </w:r>
          </w:p>
        </w:tc>
      </w:tr>
      <w:tr w:rsidR="004E4A39" w14:paraId="2FCA97D6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316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D25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25 (2.5%)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AF0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 (3.5%)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FA43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714C8C7B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A8C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Black or African American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074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93 (9.4%)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D86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88 (8.9%)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D3C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AC9DE37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342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BF5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401 (40.3%)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9B3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352 (35.4%)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1C9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2BDF9AB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CC8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Age,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59B1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9333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D25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0.345</w:t>
            </w:r>
          </w:p>
        </w:tc>
      </w:tr>
      <w:tr w:rsidR="004E4A39" w14:paraId="5A412731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97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&lt;=60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92E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292 (27%)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B2B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309 (28.5%)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F2CA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27ED3BA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6DB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&gt;60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33C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249 (23%)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ACB6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233 (21.5%)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990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9E3F82A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37F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lastRenderedPageBreak/>
              <w:t>Histological type,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33A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675B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F82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 0.001</w:t>
            </w:r>
          </w:p>
        </w:tc>
      </w:tr>
      <w:tr w:rsidR="004E4A39" w14:paraId="29A82677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30C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Infiltrating Ductal Carcinoma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4EF6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333 (34.1%)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246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439 (44.9%)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93E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057FC413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6E6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Infiltrating Lobular Carcinoma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868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155 (15.9%)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F77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50 (5.1%)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553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7138949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BD0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ER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C0BB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98F4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AC6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 0.001</w:t>
            </w:r>
          </w:p>
        </w:tc>
      </w:tr>
      <w:tr w:rsidR="004E4A39" w14:paraId="24CDCA8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880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DAC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83 (8%)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7ED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157 (15.2%)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349A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6D56E5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0A3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Indeterminate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894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F8D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D800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E80C4DD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C5B6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980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434 (41.9%)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43BE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359 (34.7%)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A0A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0A2DB334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33E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PR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8BD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D6A0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AD5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 0.001</w:t>
            </w:r>
          </w:p>
        </w:tc>
      </w:tr>
      <w:tr w:rsidR="004E4A39" w14:paraId="7E6AF1BD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7CE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676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135 (13.1%)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EC0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207 (20%)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DF87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39A0520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EC9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Indeterminate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9D0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 (0.1%)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ABAE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 (0.3%)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EF47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1B36A13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C61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51F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382 (36.9%)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529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306 (29.6%)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4D0B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34233603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405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HER2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BAA6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591B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42B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0.001</w:t>
            </w:r>
          </w:p>
        </w:tc>
      </w:tr>
      <w:tr w:rsidR="004E4A39" w14:paraId="351E61E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D38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A67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286 (39.3%)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A9D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272 (37.4%)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02F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72D6268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B08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Indeterminate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294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 (0.7%)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24E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 (1%)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432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0E311882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168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76D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55 (7.6%)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CD4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102 (14%)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047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307F93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ED7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PAM50,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246E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46A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8BC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&lt; 0.001</w:t>
            </w:r>
          </w:p>
        </w:tc>
      </w:tr>
      <w:tr w:rsidR="004E4A39" w14:paraId="6C4AAB32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656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03E6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30 (2.8%)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30D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 (0.9%)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BC32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55863D5A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7FA0" w14:textId="77777777" w:rsidR="004E4A39" w:rsidRDefault="00000000">
            <w:pPr>
              <w:spacing w:before="100" w:after="100"/>
              <w:ind w:left="100" w:right="100"/>
              <w:jc w:val="center"/>
            </w:pPr>
            <w:proofErr w:type="spellStart"/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LumA</w:t>
            </w:r>
            <w:proofErr w:type="spellEnd"/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C45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357 (33%)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0AD4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205 (18.9%)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31B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1104DCAF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99E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LumB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65E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72 (6.6%)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E64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132 (12.2%)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051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7B49D4E1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E85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Her2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FF0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19 (1.8%)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F2C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63 (5.8%)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A139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5356B8A1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BF6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Basal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185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63 (5.8%)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F0F0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132 (12.2%)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0287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459FD50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CC2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Menopause status,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FCCB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C9C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469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0.454</w:t>
            </w:r>
          </w:p>
        </w:tc>
      </w:tr>
      <w:tr w:rsidR="004E4A39" w14:paraId="5B3C68B5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EE7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45C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106 (10.9%)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F69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123 (12.7%)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4FD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0004738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C8C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Peri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A97A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 (2.1%)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7AB8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 (2.1%)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D708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BE9A0E7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E5D1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5EC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359 (36.9%)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396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344 (35.4%)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41CF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312349B2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9DB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Anatomic neoplasm subdivisions,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B4E1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E564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1C5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0.121</w:t>
            </w:r>
          </w:p>
        </w:tc>
      </w:tr>
      <w:tr w:rsidR="004E4A39" w14:paraId="6A11D6E6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FBB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Left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A0D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268 (24.7%)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8B3C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295 (27.2%)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27C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238C8F2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1CF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lastRenderedPageBreak/>
              <w:t>Right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AFF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273 (25.2%)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126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247 (22.8%)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2547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5148FB2E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AF93" w14:textId="77777777" w:rsidR="004E4A39" w:rsidRDefault="00000000">
            <w:pPr>
              <w:spacing w:before="100" w:after="100"/>
              <w:ind w:left="100" w:right="100"/>
              <w:jc w:val="center"/>
            </w:pPr>
            <w:proofErr w:type="spellStart"/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radiation_therapy</w:t>
            </w:r>
            <w:proofErr w:type="spellEnd"/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, n (%)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8C12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5725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00A9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0.829</w:t>
            </w:r>
          </w:p>
        </w:tc>
      </w:tr>
      <w:tr w:rsidR="004E4A39" w14:paraId="598AB9F0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FEDB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0E0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226 (22.9%)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B667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208 (21.1%)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4611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6A4A3957" w14:textId="77777777">
        <w:trPr>
          <w:cantSplit/>
          <w:jc w:val="center"/>
        </w:trPr>
        <w:tc>
          <w:tcPr>
            <w:tcW w:w="3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1C2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060F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283 (28.7%)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791D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270 (27.4%)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3D8D" w14:textId="77777777" w:rsidR="004E4A39" w:rsidRDefault="004E4A39">
            <w:pPr>
              <w:spacing w:before="100" w:after="100"/>
              <w:ind w:left="100" w:right="100"/>
              <w:jc w:val="center"/>
            </w:pPr>
          </w:p>
        </w:tc>
      </w:tr>
      <w:tr w:rsidR="004E4A39" w14:paraId="216E289E" w14:textId="77777777">
        <w:trPr>
          <w:cantSplit/>
          <w:jc w:val="center"/>
        </w:trPr>
        <w:tc>
          <w:tcPr>
            <w:tcW w:w="355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A6D5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Age, median (IQR)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0642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59 (49, 68)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D36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57 (48, 66)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6CC3" w14:textId="77777777" w:rsidR="004E4A39" w:rsidRDefault="00000000">
            <w:pPr>
              <w:spacing w:before="100" w:after="100"/>
              <w:ind w:left="100" w:right="100"/>
              <w:jc w:val="center"/>
            </w:pPr>
            <w:r>
              <w:rPr>
                <w:rFonts w:ascii="Arial" w:eastAsia="DejaVu Sans" w:hAnsi="DejaVu Sans" w:cs="DejaVu Sans"/>
                <w:color w:val="000000"/>
                <w:sz w:val="18"/>
                <w:szCs w:val="18"/>
              </w:rPr>
              <w:t>0.098</w:t>
            </w:r>
          </w:p>
        </w:tc>
      </w:tr>
    </w:tbl>
    <w:p w14:paraId="1A18FC95" w14:textId="77777777" w:rsidR="00876F73" w:rsidRDefault="00876F73"/>
    <w:sectPr w:rsidR="00876F73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6978001">
    <w:abstractNumId w:val="1"/>
  </w:num>
  <w:num w:numId="2" w16cid:durableId="1671642334">
    <w:abstractNumId w:val="2"/>
  </w:num>
  <w:num w:numId="3" w16cid:durableId="63822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79D"/>
    <w:rsid w:val="00036527"/>
    <w:rsid w:val="00073835"/>
    <w:rsid w:val="001379FE"/>
    <w:rsid w:val="001C0A13"/>
    <w:rsid w:val="001D75AB"/>
    <w:rsid w:val="0035500D"/>
    <w:rsid w:val="00362E65"/>
    <w:rsid w:val="004158F9"/>
    <w:rsid w:val="00457CF1"/>
    <w:rsid w:val="004E4A39"/>
    <w:rsid w:val="00747CCE"/>
    <w:rsid w:val="007B3E96"/>
    <w:rsid w:val="00876F73"/>
    <w:rsid w:val="008F1F48"/>
    <w:rsid w:val="00901463"/>
    <w:rsid w:val="00946CB3"/>
    <w:rsid w:val="00AE18EF"/>
    <w:rsid w:val="00AE1BDD"/>
    <w:rsid w:val="00B3547C"/>
    <w:rsid w:val="00B4379D"/>
    <w:rsid w:val="00C27329"/>
    <w:rsid w:val="00C31EEB"/>
    <w:rsid w:val="00E86CE1"/>
    <w:rsid w:val="00F12158"/>
    <w:rsid w:val="00FB63E7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78DFF"/>
  <w14:defaultImageDpi w14:val="300"/>
  <w15:docId w15:val="{82A812A4-2F41-F746-AAB1-47BA7D9E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要点1"/>
    <w:basedOn w:val="a0"/>
    <w:uiPriority w:val="1"/>
    <w:qFormat/>
    <w:rsid w:val="007B3E96"/>
    <w:rPr>
      <w:b/>
    </w:rPr>
  </w:style>
  <w:style w:type="paragraph" w:customStyle="1" w:styleId="centered">
    <w:name w:val="centered"/>
    <w:basedOn w:val="a"/>
    <w:qFormat/>
    <w:rsid w:val="001D75AB"/>
    <w:pPr>
      <w:jc w:val="center"/>
    </w:pPr>
  </w:style>
  <w:style w:type="table" w:customStyle="1" w:styleId="tabletemplate">
    <w:name w:val="table_template"/>
    <w:basedOn w:val="a1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Light List Accent 2"/>
    <w:basedOn w:val="a1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a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a3">
    <w:name w:val="Table Professional"/>
    <w:basedOn w:val="a1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a"/>
    <w:next w:val="a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FB63E7"/>
    <w:pPr>
      <w:spacing w:after="100"/>
      <w:ind w:left="240"/>
    </w:pPr>
  </w:style>
  <w:style w:type="paragraph" w:styleId="a4">
    <w:name w:val="Balloon Text"/>
    <w:basedOn w:val="a"/>
    <w:link w:val="a5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a0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a"/>
    <w:rsid w:val="0035500D"/>
  </w:style>
  <w:style w:type="paragraph" w:customStyle="1" w:styleId="tabletitle">
    <w:name w:val="table title"/>
    <w:basedOn w:val="TableCaption"/>
    <w:next w:val="a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正威 桂</cp:lastModifiedBy>
  <cp:revision>10</cp:revision>
  <dcterms:created xsi:type="dcterms:W3CDTF">2017-02-28T11:18:00Z</dcterms:created>
  <dcterms:modified xsi:type="dcterms:W3CDTF">2023-08-04T07:34:00Z</dcterms:modified>
  <cp:category/>
</cp:coreProperties>
</file>