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7F6464B4" w14:textId="77777777" w:rsidR="0025725C" w:rsidRPr="00376CC5" w:rsidRDefault="0025725C" w:rsidP="0025725C">
      <w:pPr>
        <w:pStyle w:val="Title"/>
      </w:pPr>
      <w:r>
        <w:rPr>
          <w:rFonts w:ascii="Arial" w:hAnsi="Arial" w:cs="Arial"/>
          <w:bCs/>
        </w:rPr>
        <w:t xml:space="preserve">Novel kinetoplastid-specific cAMP binding proteins identified by RNAi screening for cAMP resistance in </w:t>
      </w:r>
      <w:r>
        <w:rPr>
          <w:rFonts w:ascii="Arial" w:hAnsi="Arial" w:cs="Arial"/>
          <w:bCs/>
          <w:i/>
          <w:iCs/>
        </w:rPr>
        <w:t xml:space="preserve">T. </w:t>
      </w:r>
      <w:proofErr w:type="gramStart"/>
      <w:r>
        <w:rPr>
          <w:rFonts w:ascii="Arial" w:hAnsi="Arial" w:cs="Arial"/>
          <w:bCs/>
          <w:i/>
          <w:iCs/>
        </w:rPr>
        <w:t>brucei</w:t>
      </w:r>
      <w:proofErr w:type="gramEnd"/>
    </w:p>
    <w:p w14:paraId="4978438D" w14:textId="09B8F0D6" w:rsidR="0025725C" w:rsidRPr="00376CC5" w:rsidRDefault="0025725C" w:rsidP="0025725C">
      <w:pPr>
        <w:pStyle w:val="AuthorList"/>
      </w:pPr>
      <w:r w:rsidRPr="00664535">
        <w:t>Sabine Bachmaier</w:t>
      </w:r>
      <w:r w:rsidRPr="00376CC5">
        <w:t xml:space="preserve">, </w:t>
      </w:r>
      <w:r>
        <w:t>Matthew K. Gould</w:t>
      </w:r>
      <w:r w:rsidRPr="00376CC5">
        <w:t>,</w:t>
      </w:r>
      <w:r>
        <w:t xml:space="preserve"> </w:t>
      </w:r>
      <w:r w:rsidRPr="00664535">
        <w:rPr>
          <w:lang w:val="en-GB"/>
        </w:rPr>
        <w:t xml:space="preserve">Eleni </w:t>
      </w:r>
      <w:proofErr w:type="spellStart"/>
      <w:r w:rsidRPr="00664535">
        <w:rPr>
          <w:lang w:val="en-GB"/>
        </w:rPr>
        <w:t>Polatoglou</w:t>
      </w:r>
      <w:proofErr w:type="spellEnd"/>
      <w:r w:rsidRPr="00664535">
        <w:rPr>
          <w:lang w:val="en-GB"/>
        </w:rPr>
        <w:t xml:space="preserve">, Radoslaw </w:t>
      </w:r>
      <w:proofErr w:type="spellStart"/>
      <w:r w:rsidRPr="00664535">
        <w:rPr>
          <w:lang w:val="en-GB"/>
        </w:rPr>
        <w:t>Omelianczyk</w:t>
      </w:r>
      <w:proofErr w:type="spellEnd"/>
      <w:r w:rsidRPr="00664535">
        <w:rPr>
          <w:lang w:val="en-GB"/>
        </w:rPr>
        <w:t>, Ana E. Brennand, Maha A. Aloraini, Jane C. Munday, David Horn, Michael Boshart</w:t>
      </w:r>
      <w:r w:rsidRPr="00664535">
        <w:rPr>
          <w:vertAlign w:val="superscript"/>
          <w:lang w:val="en-GB"/>
        </w:rPr>
        <w:t>*</w:t>
      </w:r>
      <w:r w:rsidRPr="00664535">
        <w:rPr>
          <w:lang w:val="en-GB"/>
        </w:rPr>
        <w:t>, Harry P. de Koning</w:t>
      </w:r>
      <w:r>
        <w:rPr>
          <w:vertAlign w:val="superscript"/>
          <w:lang w:val="en-GB"/>
        </w:rPr>
        <w:t>*</w:t>
      </w:r>
    </w:p>
    <w:p w14:paraId="4CDF64A0" w14:textId="77777777" w:rsidR="0025725C" w:rsidRDefault="0025725C" w:rsidP="0025725C">
      <w:pPr>
        <w:spacing w:after="0"/>
        <w:rPr>
          <w:rFonts w:cs="Times New Roman"/>
          <w:szCs w:val="24"/>
          <w:lang w:val="en-GB"/>
        </w:rPr>
      </w:pPr>
    </w:p>
    <w:p w14:paraId="51663430" w14:textId="6BAFA2A4" w:rsidR="0025725C" w:rsidRDefault="0025725C" w:rsidP="006141FE">
      <w:pPr>
        <w:spacing w:after="0"/>
        <w:rPr>
          <w:rFonts w:cs="Times New Roman"/>
          <w:szCs w:val="24"/>
        </w:rPr>
      </w:pPr>
      <w:r w:rsidRPr="00376CC5">
        <w:rPr>
          <w:rFonts w:cs="Times New Roman"/>
          <w:b/>
          <w:szCs w:val="24"/>
        </w:rPr>
        <w:t xml:space="preserve">* Correspondence: </w:t>
      </w:r>
      <w:r w:rsidR="00E86AF0" w:rsidRPr="00D723B1">
        <w:rPr>
          <w:rFonts w:cs="Times New Roman"/>
          <w:szCs w:val="24"/>
          <w:lang w:val="en-GB"/>
        </w:rPr>
        <w:t>Michael Boshart</w:t>
      </w:r>
      <w:r w:rsidR="006141FE">
        <w:rPr>
          <w:rFonts w:cs="Times New Roman"/>
          <w:szCs w:val="24"/>
          <w:lang w:val="en-GB"/>
        </w:rPr>
        <w:t xml:space="preserve">, </w:t>
      </w:r>
      <w:hyperlink r:id="rId12" w:tooltip="mailto:boshart@lmu.de" w:history="1">
        <w:r w:rsidR="00E86AF0" w:rsidRPr="007E3579">
          <w:rPr>
            <w:rStyle w:val="Hyperlink"/>
            <w:rFonts w:cs="Times New Roman"/>
            <w:bCs/>
            <w:szCs w:val="24"/>
            <w:lang w:val="en-GB"/>
          </w:rPr>
          <w:t>boshart@lmu.de</w:t>
        </w:r>
      </w:hyperlink>
      <w:r w:rsidR="006141FE">
        <w:rPr>
          <w:rStyle w:val="Hyperlink"/>
          <w:rFonts w:cs="Times New Roman"/>
          <w:bCs/>
          <w:szCs w:val="24"/>
          <w:lang w:val="en-GB"/>
        </w:rPr>
        <w:t xml:space="preserve">; </w:t>
      </w:r>
      <w:r w:rsidRPr="00D723B1">
        <w:rPr>
          <w:rFonts w:cs="Times New Roman"/>
          <w:szCs w:val="24"/>
          <w:lang w:val="en-GB"/>
        </w:rPr>
        <w:t>Harry P. de Koning</w:t>
      </w:r>
      <w:r w:rsidR="006141FE">
        <w:rPr>
          <w:rFonts w:cs="Times New Roman"/>
          <w:szCs w:val="24"/>
          <w:lang w:val="en-GB"/>
        </w:rPr>
        <w:t xml:space="preserve">, </w:t>
      </w:r>
      <w:hyperlink r:id="rId13" w:tooltip="mailto:Harry.De-Koning@glasgow.ac.uk" w:history="1">
        <w:r w:rsidRPr="00D723B1">
          <w:rPr>
            <w:rStyle w:val="Hyperlink"/>
            <w:rFonts w:cs="Times New Roman"/>
            <w:szCs w:val="24"/>
            <w:lang w:val="de-DE"/>
          </w:rPr>
          <w:t>Harry.De-Koning@glasgow.ac.uk</w:t>
        </w:r>
      </w:hyperlink>
    </w:p>
    <w:p w14:paraId="0CFCF298" w14:textId="77777777" w:rsidR="0025725C" w:rsidRDefault="0025725C" w:rsidP="0001436A">
      <w:pPr>
        <w:pStyle w:val="Title"/>
      </w:pPr>
    </w:p>
    <w:p w14:paraId="3D42119E" w14:textId="3E4CC0E6" w:rsidR="00AA5E31" w:rsidRDefault="00AA5E31" w:rsidP="0001436A">
      <w:pPr>
        <w:pStyle w:val="Title"/>
      </w:pPr>
      <w:r>
        <w:br w:type="page"/>
      </w:r>
    </w:p>
    <w:p w14:paraId="07970E94" w14:textId="77777777" w:rsidR="00994A3D" w:rsidRPr="001549D3" w:rsidRDefault="00994A3D" w:rsidP="0001436A">
      <w:pPr>
        <w:pStyle w:val="Heading2"/>
      </w:pPr>
      <w:r w:rsidRPr="0001436A">
        <w:lastRenderedPageBreak/>
        <w:t>Supplementary</w:t>
      </w:r>
      <w:r w:rsidRPr="001549D3">
        <w:t xml:space="preserve"> Figures</w:t>
      </w:r>
    </w:p>
    <w:p w14:paraId="4916FCC9" w14:textId="51233554" w:rsidR="00994A3D" w:rsidRPr="001549D3" w:rsidRDefault="00AA5E31" w:rsidP="00994A3D">
      <w:pPr>
        <w:keepNext/>
        <w:rPr>
          <w:rFonts w:cs="Times New Roman"/>
          <w:szCs w:val="24"/>
        </w:rPr>
      </w:pPr>
      <w:r>
        <w:rPr>
          <w:rFonts w:cs="Times New Roman"/>
          <w:noProof/>
          <w:szCs w:val="24"/>
        </w:rPr>
        <w:drawing>
          <wp:inline distT="0" distB="0" distL="0" distR="0" wp14:anchorId="6F872F86" wp14:editId="4C04FBC0">
            <wp:extent cx="6258560" cy="4436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559" cy="4447451"/>
                    </a:xfrm>
                    <a:prstGeom prst="rect">
                      <a:avLst/>
                    </a:prstGeom>
                    <a:noFill/>
                  </pic:spPr>
                </pic:pic>
              </a:graphicData>
            </a:graphic>
          </wp:inline>
        </w:drawing>
      </w:r>
    </w:p>
    <w:p w14:paraId="621D94A0" w14:textId="21534EC3" w:rsidR="000D6019" w:rsidRDefault="00994A3D" w:rsidP="00AB6B6B">
      <w:pPr>
        <w:keepNext/>
        <w:rPr>
          <w:rFonts w:cs="Times New Roman"/>
          <w:szCs w:val="24"/>
          <w:lang w:val="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064B09">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AB6B6B" w:rsidRPr="00AB6B6B">
        <w:rPr>
          <w:rFonts w:cs="Times New Roman"/>
          <w:szCs w:val="24"/>
          <w:lang w:val="en-GB"/>
        </w:rPr>
        <w:t xml:space="preserve">Structural alignment of CARP1 CNBD-B (A) and CNBD-C (B) with </w:t>
      </w:r>
      <w:proofErr w:type="spellStart"/>
      <w:r w:rsidR="00AB6B6B" w:rsidRPr="00AB6B6B">
        <w:rPr>
          <w:rFonts w:cs="Times New Roman"/>
          <w:szCs w:val="24"/>
          <w:lang w:val="en-GB"/>
        </w:rPr>
        <w:t>BtPKARIa_CNBD</w:t>
      </w:r>
      <w:proofErr w:type="spellEnd"/>
      <w:r w:rsidR="00AB6B6B" w:rsidRPr="00AB6B6B">
        <w:rPr>
          <w:rFonts w:cs="Times New Roman"/>
          <w:szCs w:val="24"/>
          <w:lang w:val="en-GB"/>
        </w:rPr>
        <w:t xml:space="preserve">-A (PDB 1RGS, black; conserved R211 sidechain shown) and </w:t>
      </w:r>
      <w:proofErr w:type="spellStart"/>
      <w:r w:rsidR="00AB6B6B" w:rsidRPr="00AB6B6B">
        <w:rPr>
          <w:rFonts w:cs="Times New Roman"/>
          <w:szCs w:val="24"/>
          <w:lang w:val="en-GB"/>
        </w:rPr>
        <w:t>EcoliCRP_CNBD</w:t>
      </w:r>
      <w:proofErr w:type="spellEnd"/>
      <w:r w:rsidR="00AB6B6B" w:rsidRPr="00AB6B6B">
        <w:rPr>
          <w:rFonts w:cs="Times New Roman"/>
          <w:szCs w:val="24"/>
          <w:lang w:val="en-GB"/>
        </w:rPr>
        <w:t xml:space="preserve"> (PDB 4N9H, green; conserved R82 sidechain shown). The CARP1 CNBDs are coloured in blue. In addition to the sidechain of the Arg that is the best alignment fit in Fig. 5A, the residues that structurally align with R211</w:t>
      </w:r>
      <w:r w:rsidR="00AB6B6B" w:rsidRPr="00AB6B6B">
        <w:rPr>
          <w:rFonts w:cs="Times New Roman"/>
          <w:szCs w:val="24"/>
          <w:vertAlign w:val="superscript"/>
          <w:lang w:val="en-GB"/>
        </w:rPr>
        <w:t>BtPKARI</w:t>
      </w:r>
      <w:r w:rsidR="00AB6B6B" w:rsidRPr="00AB6B6B">
        <w:rPr>
          <w:rFonts w:ascii="Cambria Math" w:hAnsi="Cambria Math" w:cs="Cambria Math"/>
          <w:szCs w:val="24"/>
          <w:vertAlign w:val="superscript"/>
          <w:lang w:val="en-GB"/>
        </w:rPr>
        <w:t>⍺</w:t>
      </w:r>
      <w:r w:rsidR="00AB6B6B" w:rsidRPr="00AB6B6B">
        <w:rPr>
          <w:rFonts w:cs="Times New Roman"/>
          <w:szCs w:val="24"/>
          <w:lang w:val="en-GB"/>
        </w:rPr>
        <w:t xml:space="preserve"> and R82</w:t>
      </w:r>
      <w:r w:rsidR="00AB6B6B" w:rsidRPr="00AB6B6B">
        <w:rPr>
          <w:rFonts w:cs="Times New Roman"/>
          <w:szCs w:val="24"/>
          <w:vertAlign w:val="superscript"/>
          <w:lang w:val="en-GB"/>
        </w:rPr>
        <w:t>EcCRP</w:t>
      </w:r>
      <w:r w:rsidR="00AB6B6B" w:rsidRPr="00AB6B6B">
        <w:rPr>
          <w:rFonts w:cs="Times New Roman"/>
          <w:szCs w:val="24"/>
          <w:lang w:val="en-GB"/>
        </w:rPr>
        <w:t xml:space="preserve"> are displayed. The CARP1 structure predictions were retrieved from </w:t>
      </w:r>
      <w:hyperlink r:id="rId15" w:tooltip="http://wheelerlab.net/alphafold/" w:history="1">
        <w:r w:rsidR="00AB6B6B" w:rsidRPr="00AB6B6B">
          <w:rPr>
            <w:rStyle w:val="Hyperlink"/>
            <w:rFonts w:cs="Times New Roman"/>
            <w:szCs w:val="24"/>
            <w:lang w:val="en-GB"/>
          </w:rPr>
          <w:t>http://wheelerlab.net/alphafold/</w:t>
        </w:r>
      </w:hyperlink>
      <w:r w:rsidR="00AB6B6B" w:rsidRPr="00AB6B6B">
        <w:rPr>
          <w:rFonts w:cs="Times New Roman"/>
          <w:szCs w:val="24"/>
          <w:lang w:val="en-GB"/>
        </w:rPr>
        <w:t xml:space="preserve"> and superimposed with </w:t>
      </w:r>
      <w:proofErr w:type="spellStart"/>
      <w:r w:rsidR="00AB6B6B" w:rsidRPr="00AB6B6B">
        <w:rPr>
          <w:rFonts w:cs="Times New Roman"/>
          <w:szCs w:val="24"/>
          <w:lang w:val="en-GB"/>
        </w:rPr>
        <w:t>Pymol</w:t>
      </w:r>
      <w:proofErr w:type="spellEnd"/>
      <w:r w:rsidR="00AB6B6B" w:rsidRPr="00AB6B6B">
        <w:rPr>
          <w:rFonts w:cs="Times New Roman"/>
          <w:szCs w:val="24"/>
          <w:lang w:val="en-GB"/>
        </w:rPr>
        <w:t xml:space="preserve"> version 2.5.4</w:t>
      </w:r>
      <w:r w:rsidR="000D6019">
        <w:rPr>
          <w:rFonts w:cs="Times New Roman"/>
          <w:szCs w:val="24"/>
          <w:lang w:val="en-GB"/>
        </w:rPr>
        <w:t>.</w:t>
      </w:r>
    </w:p>
    <w:p w14:paraId="3B020E77" w14:textId="37A9B6DB" w:rsidR="000D6019" w:rsidRDefault="000D6019" w:rsidP="00AB6B6B">
      <w:pPr>
        <w:keepNext/>
        <w:rPr>
          <w:rFonts w:cs="Times New Roman"/>
          <w:b/>
          <w:szCs w:val="24"/>
        </w:rPr>
      </w:pPr>
      <w:r>
        <w:rPr>
          <w:rFonts w:cs="Times New Roman"/>
          <w:b/>
          <w:szCs w:val="24"/>
        </w:rPr>
        <w:br w:type="page"/>
      </w:r>
    </w:p>
    <w:p w14:paraId="1049943B" w14:textId="401A3578" w:rsidR="008170B0" w:rsidRDefault="003F30DA" w:rsidP="00135CA2">
      <w:pPr>
        <w:keepNext/>
        <w:rPr>
          <w:rFonts w:cs="Times New Roman"/>
          <w:bCs/>
          <w:szCs w:val="24"/>
          <w:lang w:val="en-GB"/>
        </w:rPr>
      </w:pPr>
      <w:r>
        <w:rPr>
          <w:rFonts w:cs="Times New Roman"/>
          <w:b/>
          <w:noProof/>
          <w:szCs w:val="24"/>
        </w:rPr>
        <w:lastRenderedPageBreak/>
        <w:drawing>
          <wp:inline distT="0" distB="0" distL="0" distR="0" wp14:anchorId="38AA54B7" wp14:editId="46FC777E">
            <wp:extent cx="6418360" cy="3926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3230" cy="3929820"/>
                    </a:xfrm>
                    <a:prstGeom prst="rect">
                      <a:avLst/>
                    </a:prstGeom>
                    <a:noFill/>
                  </pic:spPr>
                </pic:pic>
              </a:graphicData>
            </a:graphic>
          </wp:inline>
        </w:drawing>
      </w:r>
      <w:r w:rsidR="00A51808" w:rsidRPr="0001436A">
        <w:rPr>
          <w:rFonts w:cs="Times New Roman"/>
          <w:b/>
          <w:szCs w:val="24"/>
        </w:rPr>
        <w:t xml:space="preserve">Supplementary Figure </w:t>
      </w:r>
      <w:r w:rsidR="009A0800">
        <w:rPr>
          <w:rFonts w:cs="Times New Roman"/>
          <w:b/>
          <w:szCs w:val="24"/>
        </w:rPr>
        <w:t>2</w:t>
      </w:r>
      <w:r w:rsidR="00A51808" w:rsidRPr="0001436A">
        <w:rPr>
          <w:rFonts w:cs="Times New Roman"/>
          <w:b/>
          <w:szCs w:val="24"/>
        </w:rPr>
        <w:t>.</w:t>
      </w:r>
      <w:r w:rsidR="009A0800">
        <w:rPr>
          <w:rFonts w:cs="Times New Roman"/>
          <w:b/>
          <w:szCs w:val="24"/>
        </w:rPr>
        <w:t xml:space="preserve"> </w:t>
      </w:r>
      <w:r w:rsidR="003863C9" w:rsidRPr="009C71EA">
        <w:t>(A)</w:t>
      </w:r>
      <w:r w:rsidR="003863C9">
        <w:rPr>
          <w:b/>
          <w:bCs/>
        </w:rPr>
        <w:t xml:space="preserve"> </w:t>
      </w:r>
      <w:r w:rsidR="003863C9">
        <w:t>S</w:t>
      </w:r>
      <w:r w:rsidR="003863C9" w:rsidRPr="009C71EA">
        <w:t>pecificity of the affinity-purified rabbit anti-CARP1 antibody by Western blot analysis. CARP1 expression in trypanosome</w:t>
      </w:r>
      <w:r w:rsidR="003863C9">
        <w:t>s</w:t>
      </w:r>
      <w:r w:rsidR="003863C9" w:rsidRPr="009C71EA">
        <w:t xml:space="preserve"> </w:t>
      </w:r>
      <w:r w:rsidR="003863C9">
        <w:t xml:space="preserve">was regulated by </w:t>
      </w:r>
      <w:r w:rsidR="003863C9" w:rsidRPr="009C71EA">
        <w:t xml:space="preserve">tetracycline-inducible </w:t>
      </w:r>
      <w:r w:rsidR="003863C9" w:rsidRPr="009C71EA">
        <w:rPr>
          <w:i/>
          <w:iCs/>
        </w:rPr>
        <w:t>CARP1</w:t>
      </w:r>
      <w:r w:rsidR="003863C9" w:rsidRPr="009C71EA">
        <w:t xml:space="preserve"> RNAi (+</w:t>
      </w:r>
      <w:proofErr w:type="spellStart"/>
      <w:r w:rsidR="003863C9" w:rsidRPr="009C71EA">
        <w:t>tet</w:t>
      </w:r>
      <w:proofErr w:type="spellEnd"/>
      <w:r w:rsidR="003863C9" w:rsidRPr="009C71EA">
        <w:t>/-</w:t>
      </w:r>
      <w:proofErr w:type="spellStart"/>
      <w:r w:rsidR="003863C9" w:rsidRPr="009C71EA">
        <w:t>tet</w:t>
      </w:r>
      <w:proofErr w:type="spellEnd"/>
      <w:r w:rsidR="003863C9">
        <w:t>, 24h</w:t>
      </w:r>
      <w:r w:rsidR="003863C9" w:rsidRPr="009C71EA">
        <w:t xml:space="preserve">) or </w:t>
      </w:r>
      <w:r w:rsidR="003863C9">
        <w:t xml:space="preserve">by </w:t>
      </w:r>
      <w:r w:rsidR="003863C9" w:rsidRPr="009C71EA">
        <w:t xml:space="preserve">CARP1 overexpression (OE) </w:t>
      </w:r>
      <w:r w:rsidR="003863C9">
        <w:t xml:space="preserve">relative </w:t>
      </w:r>
      <w:r w:rsidR="003863C9" w:rsidRPr="009C71EA">
        <w:t xml:space="preserve">to </w:t>
      </w:r>
      <w:r w:rsidR="003863C9">
        <w:t xml:space="preserve">the </w:t>
      </w:r>
      <w:r w:rsidR="003863C9" w:rsidRPr="009C71EA">
        <w:t xml:space="preserve">parental </w:t>
      </w:r>
      <w:r w:rsidR="003863C9">
        <w:t>line</w:t>
      </w:r>
      <w:r w:rsidR="003863C9" w:rsidRPr="009C71EA">
        <w:t>. CARP1 signals (green) were normalized to the PFR-A/C loading control (red) and the normalized signal in the parental cells was set to 100%</w:t>
      </w:r>
      <w:r w:rsidR="003863C9">
        <w:t xml:space="preserve">. (B) Control of knock-down efficiency for CARP6 upon tetracycline-inducible RNAi in a cell line expressing </w:t>
      </w:r>
      <w:r w:rsidR="003863C9" w:rsidRPr="00C05DA9">
        <w:rPr>
          <w:i/>
          <w:iCs/>
        </w:rPr>
        <w:t>in situ</w:t>
      </w:r>
      <w:r w:rsidR="003863C9">
        <w:t xml:space="preserve"> tagged CARP6-YFP-TY. CARP6-YFP-TY signals detected by anti-TY were normalized </w:t>
      </w:r>
      <w:r w:rsidR="003863C9" w:rsidRPr="009C71EA">
        <w:t>to the PFR-A/C loading control</w:t>
      </w:r>
      <w:r w:rsidR="003863C9">
        <w:t>.</w:t>
      </w:r>
      <w:r w:rsidR="003863C9" w:rsidRPr="009C71EA">
        <w:t xml:space="preserve"> </w:t>
      </w:r>
      <w:r w:rsidR="003863C9">
        <w:t>Relative intensity values are</w:t>
      </w:r>
      <w:r w:rsidR="003863C9" w:rsidRPr="009C71EA">
        <w:t xml:space="preserve"> given below the Western blot.</w:t>
      </w:r>
      <w:r w:rsidR="003863C9">
        <w:t xml:space="preserve"> (C) Control of knock-down efficiency for CARP10 upon tetracycline-inducible RNAi in a cell line expressing </w:t>
      </w:r>
      <w:r w:rsidR="003863C9" w:rsidRPr="00C05DA9">
        <w:rPr>
          <w:i/>
          <w:iCs/>
        </w:rPr>
        <w:t>in situ</w:t>
      </w:r>
      <w:r w:rsidR="003863C9">
        <w:t xml:space="preserve"> tagged TY-YFP-CARP10. </w:t>
      </w:r>
      <w:r w:rsidR="00C925BB" w:rsidRPr="001C1A55">
        <w:rPr>
          <w:rFonts w:cs="Times New Roman"/>
          <w:bCs/>
          <w:szCs w:val="24"/>
        </w:rPr>
        <w:t xml:space="preserve">TY-YFP mean a TY Tag N-terminal to a yellow fluorescent protein. </w:t>
      </w:r>
      <w:r w:rsidR="003863C9">
        <w:t xml:space="preserve">Detection and quantification as in (B). </w:t>
      </w:r>
      <w:r w:rsidR="008B59CF">
        <w:rPr>
          <w:rFonts w:cs="Times New Roman"/>
          <w:bCs/>
          <w:szCs w:val="24"/>
          <w:lang w:val="en-GB"/>
        </w:rPr>
        <w:t>PFR  = paraflagellar rod</w:t>
      </w:r>
      <w:r w:rsidR="001C1A55">
        <w:rPr>
          <w:rFonts w:cs="Times New Roman"/>
          <w:bCs/>
          <w:szCs w:val="24"/>
          <w:lang w:val="en-GB"/>
        </w:rPr>
        <w:t xml:space="preserve"> proteins A and </w:t>
      </w:r>
      <w:r w:rsidR="00135CA2">
        <w:rPr>
          <w:rFonts w:cs="Times New Roman"/>
          <w:bCs/>
          <w:szCs w:val="24"/>
          <w:lang w:val="en-GB"/>
        </w:rPr>
        <w:t>C</w:t>
      </w:r>
      <w:r w:rsidR="00053EBC">
        <w:rPr>
          <w:rFonts w:cs="Times New Roman"/>
          <w:bCs/>
          <w:szCs w:val="24"/>
          <w:lang w:val="en-GB"/>
        </w:rPr>
        <w:t xml:space="preserve"> (antibody recognises both)</w:t>
      </w:r>
      <w:r w:rsidR="00D6304C">
        <w:rPr>
          <w:rFonts w:cs="Times New Roman"/>
          <w:bCs/>
          <w:szCs w:val="24"/>
          <w:lang w:val="en-GB"/>
        </w:rPr>
        <w:t>.</w:t>
      </w:r>
      <w:r w:rsidR="008170B0">
        <w:rPr>
          <w:rFonts w:cs="Times New Roman"/>
          <w:bCs/>
          <w:szCs w:val="24"/>
          <w:lang w:val="en-GB"/>
        </w:rPr>
        <w:br w:type="page"/>
      </w:r>
    </w:p>
    <w:p w14:paraId="600661A3" w14:textId="57EEECBB" w:rsidR="008170B0" w:rsidRDefault="008170B0" w:rsidP="008170B0">
      <w:pPr>
        <w:keepNext/>
        <w:rPr>
          <w:rFonts w:cs="Times New Roman"/>
          <w:bCs/>
          <w:szCs w:val="24"/>
          <w:lang w:val="en-GB"/>
        </w:rPr>
      </w:pPr>
    </w:p>
    <w:p w14:paraId="214C7056" w14:textId="176A8422" w:rsidR="00DF6E59" w:rsidRDefault="00B361DF" w:rsidP="008739E2">
      <w:pPr>
        <w:keepNext/>
        <w:rPr>
          <w:rFonts w:cs="Times New Roman"/>
          <w:b/>
          <w:szCs w:val="24"/>
        </w:rPr>
      </w:pPr>
      <w:r>
        <w:rPr>
          <w:rFonts w:cs="Times New Roman"/>
          <w:b/>
          <w:noProof/>
          <w:szCs w:val="24"/>
        </w:rPr>
        <w:drawing>
          <wp:inline distT="0" distB="0" distL="0" distR="0" wp14:anchorId="0CD6EDC5" wp14:editId="7EEE4F70">
            <wp:extent cx="5444490" cy="58585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4490" cy="5858510"/>
                    </a:xfrm>
                    <a:prstGeom prst="rect">
                      <a:avLst/>
                    </a:prstGeom>
                    <a:noFill/>
                  </pic:spPr>
                </pic:pic>
              </a:graphicData>
            </a:graphic>
          </wp:inline>
        </w:drawing>
      </w:r>
    </w:p>
    <w:p w14:paraId="58F1AED1" w14:textId="4D6B54D2" w:rsidR="00DE23E8" w:rsidRPr="001549D3" w:rsidRDefault="008170B0" w:rsidP="008739E2">
      <w:pPr>
        <w:keepNext/>
      </w:pPr>
      <w:r w:rsidRPr="0001436A">
        <w:rPr>
          <w:rFonts w:cs="Times New Roman"/>
          <w:b/>
          <w:szCs w:val="24"/>
        </w:rPr>
        <w:t xml:space="preserve">Supplementary Figure </w:t>
      </w:r>
      <w:r>
        <w:rPr>
          <w:rFonts w:cs="Times New Roman"/>
          <w:b/>
          <w:szCs w:val="24"/>
        </w:rPr>
        <w:t>3</w:t>
      </w:r>
      <w:r w:rsidR="008739E2">
        <w:rPr>
          <w:b/>
          <w:bCs/>
        </w:rPr>
        <w:t xml:space="preserve">. </w:t>
      </w:r>
      <w:r w:rsidR="008739E2">
        <w:t>(A)</w:t>
      </w:r>
      <w:r w:rsidR="008739E2">
        <w:rPr>
          <w:b/>
          <w:bCs/>
        </w:rPr>
        <w:t xml:space="preserve"> </w:t>
      </w:r>
      <w:r w:rsidR="008739E2">
        <w:t xml:space="preserve">CARP1 pull-down from </w:t>
      </w:r>
      <w:r w:rsidR="008739E2">
        <w:rPr>
          <w:i/>
          <w:iCs/>
        </w:rPr>
        <w:t xml:space="preserve">T. brucei </w:t>
      </w:r>
      <w:r w:rsidR="008739E2">
        <w:t xml:space="preserve">cells overexpressing CARP1 with cAMP agarose beads with different linkers as indicated. The Western blot shows the input fraction and the pulled down material (bound fractions) and was probed with rabbit anti-CARP1 (green). (B) CARP11 pull-down from </w:t>
      </w:r>
      <w:r w:rsidR="008739E2">
        <w:rPr>
          <w:i/>
          <w:iCs/>
        </w:rPr>
        <w:t xml:space="preserve">E. coli </w:t>
      </w:r>
      <w:r w:rsidR="008739E2">
        <w:t>with 2-AHA- or 8-AHA-cAMP beads with bound CARP11 shown as % of the input (set to 100%) in presence of increasing concentrations of cAMP (0 nM – 50 µM) for competition. Plotted values are derived from the blots shown in Fig. 6B.</w:t>
      </w: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64D92" w14:textId="77777777" w:rsidR="005578F9" w:rsidRDefault="005578F9" w:rsidP="00117666">
      <w:pPr>
        <w:spacing w:after="0"/>
      </w:pPr>
      <w:r>
        <w:separator/>
      </w:r>
    </w:p>
  </w:endnote>
  <w:endnote w:type="continuationSeparator" w:id="0">
    <w:p w14:paraId="039C29F3" w14:textId="77777777" w:rsidR="005578F9" w:rsidRDefault="005578F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F8C7" w14:textId="77777777" w:rsidR="005578F9" w:rsidRDefault="005578F9" w:rsidP="00117666">
      <w:pPr>
        <w:spacing w:after="0"/>
      </w:pPr>
      <w:r>
        <w:separator/>
      </w:r>
    </w:p>
  </w:footnote>
  <w:footnote w:type="continuationSeparator" w:id="0">
    <w:p w14:paraId="4D757E5B" w14:textId="77777777" w:rsidR="005578F9" w:rsidRDefault="005578F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53EBC"/>
    <w:rsid w:val="00064B09"/>
    <w:rsid w:val="0007293A"/>
    <w:rsid w:val="00077D53"/>
    <w:rsid w:val="000D6019"/>
    <w:rsid w:val="00105FD9"/>
    <w:rsid w:val="00117666"/>
    <w:rsid w:val="00135CA2"/>
    <w:rsid w:val="001549D3"/>
    <w:rsid w:val="00160065"/>
    <w:rsid w:val="00177D84"/>
    <w:rsid w:val="001C1A55"/>
    <w:rsid w:val="0025725C"/>
    <w:rsid w:val="00267D18"/>
    <w:rsid w:val="002868E2"/>
    <w:rsid w:val="002869C3"/>
    <w:rsid w:val="002936E4"/>
    <w:rsid w:val="002B4A57"/>
    <w:rsid w:val="002C74CA"/>
    <w:rsid w:val="003544FB"/>
    <w:rsid w:val="003863C9"/>
    <w:rsid w:val="003D2F2D"/>
    <w:rsid w:val="003F30DA"/>
    <w:rsid w:val="00401590"/>
    <w:rsid w:val="00447801"/>
    <w:rsid w:val="00452E9C"/>
    <w:rsid w:val="004735C8"/>
    <w:rsid w:val="004961FF"/>
    <w:rsid w:val="00517A89"/>
    <w:rsid w:val="005250F2"/>
    <w:rsid w:val="005578F9"/>
    <w:rsid w:val="00593EEA"/>
    <w:rsid w:val="005A5EEE"/>
    <w:rsid w:val="006141FE"/>
    <w:rsid w:val="006375C7"/>
    <w:rsid w:val="00654E8F"/>
    <w:rsid w:val="00660D05"/>
    <w:rsid w:val="006820B1"/>
    <w:rsid w:val="00686BA3"/>
    <w:rsid w:val="006B7D14"/>
    <w:rsid w:val="006C2F45"/>
    <w:rsid w:val="00701727"/>
    <w:rsid w:val="0070566C"/>
    <w:rsid w:val="00714C50"/>
    <w:rsid w:val="00725A7D"/>
    <w:rsid w:val="007501BE"/>
    <w:rsid w:val="00790BB3"/>
    <w:rsid w:val="007A70C0"/>
    <w:rsid w:val="007C206C"/>
    <w:rsid w:val="007C5126"/>
    <w:rsid w:val="00803D24"/>
    <w:rsid w:val="008170B0"/>
    <w:rsid w:val="00817DD6"/>
    <w:rsid w:val="008739E2"/>
    <w:rsid w:val="00885156"/>
    <w:rsid w:val="008B59CF"/>
    <w:rsid w:val="008C7651"/>
    <w:rsid w:val="009151AA"/>
    <w:rsid w:val="0093429D"/>
    <w:rsid w:val="00943573"/>
    <w:rsid w:val="00970F7D"/>
    <w:rsid w:val="00994A3D"/>
    <w:rsid w:val="009A0800"/>
    <w:rsid w:val="009C2B12"/>
    <w:rsid w:val="009C70F3"/>
    <w:rsid w:val="00A174D9"/>
    <w:rsid w:val="00A51808"/>
    <w:rsid w:val="00A569CD"/>
    <w:rsid w:val="00AA5E31"/>
    <w:rsid w:val="00AB6715"/>
    <w:rsid w:val="00AB6B6B"/>
    <w:rsid w:val="00B1671E"/>
    <w:rsid w:val="00B25EB8"/>
    <w:rsid w:val="00B354E1"/>
    <w:rsid w:val="00B361DF"/>
    <w:rsid w:val="00B37F4D"/>
    <w:rsid w:val="00BA7C33"/>
    <w:rsid w:val="00C52A7B"/>
    <w:rsid w:val="00C56BAF"/>
    <w:rsid w:val="00C679AA"/>
    <w:rsid w:val="00C75972"/>
    <w:rsid w:val="00C925BB"/>
    <w:rsid w:val="00CC0A3A"/>
    <w:rsid w:val="00CD066B"/>
    <w:rsid w:val="00CE4FEE"/>
    <w:rsid w:val="00D6304C"/>
    <w:rsid w:val="00DB59C3"/>
    <w:rsid w:val="00DC259A"/>
    <w:rsid w:val="00DE23E8"/>
    <w:rsid w:val="00DF6E59"/>
    <w:rsid w:val="00E52377"/>
    <w:rsid w:val="00E64E17"/>
    <w:rsid w:val="00E866C9"/>
    <w:rsid w:val="00E86AF0"/>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AB6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arry.De-Koning@glasgow.ac.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boshart@lmu.d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heelerlab.net/alphafold/"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4</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Harry de-Koning</cp:lastModifiedBy>
  <cp:revision>3</cp:revision>
  <cp:lastPrinted>2023-06-05T14:43:00Z</cp:lastPrinted>
  <dcterms:created xsi:type="dcterms:W3CDTF">2023-06-05T14:42:00Z</dcterms:created>
  <dcterms:modified xsi:type="dcterms:W3CDTF">2023-06-05T14:43:00Z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