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pStyle w:val="SupplementaryMaterial"/>
        <w:rPr>
          <w:b w:val="0"/>
        </w:rPr>
      </w:pPr>
      <w:r>
        <w:t>Supplementary Material</w:t>
      </w:r>
    </w:p>
    <w:p>
      <w:pPr>
        <w:pStyle w:val="Titel"/>
      </w:pPr>
      <w:r>
        <w:t>Could oral hygiene prevent cases of at-home-acquired Legionnaires</w:t>
      </w:r>
      <w:r>
        <w:rPr>
          <w:rStyle w:val="hgkelc"/>
          <w:lang w:val="en"/>
        </w:rPr>
        <w:t>'</w:t>
      </w:r>
      <w:r>
        <w:t xml:space="preserve"> disease?</w:t>
      </w:r>
      <w:r>
        <w:t xml:space="preserve"> </w:t>
      </w:r>
      <w:r>
        <w:rPr>
          <w:sz w:val="28"/>
        </w:rPr>
        <w:t>– results of a comprehensive case-control study on infection sources, risk and protective behaviors</w:t>
      </w:r>
    </w:p>
    <w:p>
      <w:pPr>
        <w:pStyle w:val="AuthorList"/>
        <w:rPr>
          <w:lang w:val="de-DE"/>
        </w:rPr>
      </w:pPr>
      <w:r>
        <w:rPr>
          <w:lang w:val="de-DE"/>
        </w:rPr>
        <w:t xml:space="preserve">Ann-Sophie Lehfeld*, Franziska Reber, Marina M. Lewandowsky, Heiko J. Jahn, Christian Lück, Markus Petzold, Benedikt Schaefer, Anna-Rachel </w:t>
      </w:r>
      <w:proofErr w:type="spellStart"/>
      <w:r>
        <w:rPr>
          <w:lang w:val="de-DE"/>
        </w:rPr>
        <w:t>Germelmann</w:t>
      </w:r>
      <w:proofErr w:type="spellEnd"/>
      <w:r>
        <w:rPr>
          <w:lang w:val="de-DE"/>
        </w:rPr>
        <w:t xml:space="preserve">, Katrin Lorenz, Udo Buchholz </w:t>
      </w:r>
    </w:p>
    <w:p>
      <w:pPr>
        <w:spacing w:before="240" w:after="0"/>
        <w:rPr>
          <w:rFonts w:cs="Times New Roman"/>
        </w:rPr>
      </w:pPr>
      <w:r>
        <w:rPr>
          <w:rFonts w:cs="Times New Roman"/>
          <w:b/>
        </w:rPr>
        <w:t xml:space="preserve">* Correspondence: </w:t>
      </w:r>
      <w:r>
        <w:rPr>
          <w:rFonts w:cs="Times New Roman"/>
        </w:rPr>
        <w:t xml:space="preserve">Ann-Sophie Lehfeld: </w:t>
      </w:r>
      <w:hyperlink r:id="rId12" w:history="1">
        <w:r>
          <w:rPr>
            <w:rStyle w:val="Hyperlink"/>
            <w:rFonts w:cs="Times New Roman"/>
          </w:rPr>
          <w:t>LehfeldA@rki.de</w:t>
        </w:r>
      </w:hyperlink>
    </w:p>
    <w:p>
      <w:pPr>
        <w:spacing w:before="240" w:after="0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8588859" cy="3493698"/>
            <wp:effectExtent l="0" t="0" r="317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S2_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0590" cy="350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after="0"/>
        <w:rPr>
          <w:rFonts w:cs="Times New Roman"/>
          <w:b/>
        </w:rPr>
      </w:pPr>
      <w:r>
        <w:rPr>
          <w:rFonts w:cs="Times New Roman"/>
          <w:b/>
        </w:rPr>
        <w:lastRenderedPageBreak/>
        <w:t xml:space="preserve">Supplementary Figure S1. </w:t>
      </w:r>
      <w:r>
        <w:rPr>
          <w:rFonts w:cs="Times New Roman"/>
        </w:rPr>
        <w:t>Schematic overview of data collection in the study.</w:t>
      </w:r>
      <w:r>
        <w:rPr>
          <w:rFonts w:cs="Times New Roman"/>
        </w:rPr>
        <w:br/>
      </w:r>
      <w:r>
        <w:rPr>
          <w:rFonts w:cs="Times New Roman"/>
        </w:rPr>
        <w:t>AHALD = at-home-acquired Legionnaires</w:t>
      </w:r>
      <w:r>
        <w:rPr>
          <w:rStyle w:val="hgkelc"/>
          <w:lang w:val="en"/>
        </w:rPr>
        <w:t>'</w:t>
      </w:r>
      <w:r>
        <w:rPr>
          <w:rFonts w:cs="Times New Roman"/>
        </w:rPr>
        <w:t xml:space="preserve"> disease; RDW = residential drinking water; </w:t>
      </w:r>
      <w:proofErr w:type="spellStart"/>
      <w:r>
        <w:rPr>
          <w:rFonts w:cs="Times New Roman"/>
        </w:rPr>
        <w:t>RnDW</w:t>
      </w:r>
      <w:proofErr w:type="spellEnd"/>
      <w:r>
        <w:rPr>
          <w:rFonts w:cs="Times New Roman"/>
        </w:rPr>
        <w:t xml:space="preserve"> = residential non-drinking water; GEA = German Environment Agency; RLL = reference laboratory for Legionella; MAb = monoclonal antibody; ST = sequence type.</w:t>
      </w:r>
    </w:p>
    <w:p>
      <w:pPr>
        <w:spacing w:before="240" w:after="0"/>
        <w:rPr>
          <w:rFonts w:cs="Times New Roman"/>
          <w:b/>
        </w:rPr>
      </w:pPr>
    </w:p>
    <w:p>
      <w:r>
        <w:rPr>
          <w:rFonts w:cs="Times New Roman"/>
          <w:b/>
        </w:rPr>
        <w:t>Supplementa</w:t>
      </w:r>
      <w:r>
        <w:rPr>
          <w:rFonts w:cs="Times New Roman"/>
          <w:b/>
          <w:lang w:eastAsia="ja-JP"/>
        </w:rPr>
        <w:t>ry</w:t>
      </w:r>
      <w:r>
        <w:rPr>
          <w:rFonts w:cs="Times New Roman"/>
          <w:b/>
        </w:rPr>
        <w:t xml:space="preserve"> Table </w:t>
      </w:r>
      <w:r>
        <w:rPr>
          <w:rFonts w:cs="Times New Roman"/>
          <w:b/>
        </w:rPr>
        <w:t>1</w:t>
      </w:r>
      <w:r>
        <w:rPr>
          <w:rFonts w:cs="Times New Roman"/>
          <w:b/>
        </w:rPr>
        <w:t xml:space="preserve">. </w:t>
      </w:r>
      <w:r>
        <w:t>Results of bivariate analyses of potential sources, behavior, knowledge and oral hygiene of cases who likely or presumably acquired Legionnaires</w:t>
      </w:r>
      <w:r>
        <w:rPr>
          <w:rStyle w:val="hgkelc"/>
          <w:lang w:val="en"/>
        </w:rPr>
        <w:t>'</w:t>
      </w:r>
      <w:r>
        <w:t xml:space="preserve"> disease at home (AHALD) with controls, and household members (AHALD-HHM), respectively. Some variables are missing because they were not asked to AHALD-HHM or it was in retrospect not clear if the source was a household or external source. Variables significant in at least one comparison group are shown in bold; LeTriWa study, Berlin, Germany, 2016</w:t>
      </w:r>
      <w:r>
        <w:rPr>
          <w:rFonts w:asciiTheme="majorHAnsi" w:eastAsia="Times New Roman" w:hAnsiTheme="majorHAnsi" w:cstheme="majorHAnsi"/>
          <w:lang w:eastAsia="de-DE"/>
        </w:rPr>
        <w:t>–</w:t>
      </w:r>
      <w:r>
        <w:t>2020.</w:t>
      </w:r>
    </w:p>
    <w:tbl>
      <w:tblPr>
        <w:tblW w:w="137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"/>
        <w:gridCol w:w="4678"/>
        <w:gridCol w:w="682"/>
        <w:gridCol w:w="682"/>
        <w:gridCol w:w="565"/>
        <w:gridCol w:w="171"/>
        <w:gridCol w:w="493"/>
        <w:gridCol w:w="493"/>
        <w:gridCol w:w="408"/>
        <w:gridCol w:w="546"/>
        <w:gridCol w:w="862"/>
        <w:gridCol w:w="785"/>
        <w:gridCol w:w="175"/>
        <w:gridCol w:w="320"/>
        <w:gridCol w:w="320"/>
        <w:gridCol w:w="340"/>
        <w:gridCol w:w="455"/>
        <w:gridCol w:w="926"/>
        <w:gridCol w:w="698"/>
      </w:tblGrid>
      <w:tr>
        <w:trPr>
          <w:trHeight w:val="20"/>
        </w:trPr>
        <w:tc>
          <w:tcPr>
            <w:tcW w:w="152" w:type="dxa"/>
            <w:tcBorders>
              <w:top w:val="single" w:sz="18" w:space="0" w:color="auto"/>
            </w:tcBorders>
          </w:tcPr>
          <w:p>
            <w:pPr>
              <w:pStyle w:val="KeinLeerraum"/>
              <w:rPr>
                <w:rFonts w:cs="Times New Roman"/>
                <w:sz w:val="20"/>
                <w:lang w:eastAsia="de-DE"/>
              </w:rPr>
            </w:pPr>
          </w:p>
        </w:tc>
        <w:tc>
          <w:tcPr>
            <w:tcW w:w="4678" w:type="dxa"/>
            <w:tcBorders>
              <w:top w:val="single" w:sz="1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KeinLeerraum"/>
              <w:rPr>
                <w:rFonts w:cs="Times New Roman"/>
                <w:sz w:val="20"/>
                <w:lang w:eastAsia="de-DE"/>
              </w:rPr>
            </w:pPr>
          </w:p>
        </w:tc>
        <w:tc>
          <w:tcPr>
            <w:tcW w:w="0" w:type="auto"/>
            <w:gridSpan w:val="3"/>
            <w:tcBorders>
              <w:top w:val="single" w:sz="18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KeinLeerraum"/>
              <w:rPr>
                <w:rFonts w:cs="Times New Roman"/>
                <w:b/>
                <w:bCs/>
                <w:color w:val="000000"/>
                <w:sz w:val="20"/>
                <w:lang w:eastAsia="de-DE"/>
              </w:rPr>
            </w:pPr>
            <w:r>
              <w:rPr>
                <w:rFonts w:cs="Times New Roman"/>
                <w:b/>
                <w:bCs/>
                <w:color w:val="000000"/>
                <w:sz w:val="20"/>
                <w:lang w:eastAsia="de-DE"/>
              </w:rPr>
              <w:t> Cases with AHALD </w:t>
            </w:r>
          </w:p>
        </w:tc>
        <w:tc>
          <w:tcPr>
            <w:tcW w:w="178" w:type="dxa"/>
            <w:tcBorders>
              <w:top w:val="single" w:sz="18" w:space="0" w:color="auto"/>
            </w:tcBorders>
            <w:shd w:val="clear" w:color="auto" w:fill="auto"/>
            <w:vAlign w:val="bottom"/>
          </w:tcPr>
          <w:p>
            <w:pPr>
              <w:pStyle w:val="KeinLeerraum"/>
              <w:rPr>
                <w:rFonts w:cs="Times New Roman"/>
                <w:b/>
                <w:bCs/>
                <w:color w:val="000000"/>
                <w:sz w:val="20"/>
                <w:lang w:eastAsia="de-DE"/>
              </w:rPr>
            </w:pPr>
          </w:p>
        </w:tc>
        <w:tc>
          <w:tcPr>
            <w:tcW w:w="3570" w:type="dxa"/>
            <w:gridSpan w:val="6"/>
            <w:tcBorders>
              <w:top w:val="single" w:sz="18" w:space="0" w:color="auto"/>
              <w:lef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KeinLeerraum"/>
              <w:rPr>
                <w:rFonts w:cs="Times New Roman"/>
                <w:b/>
                <w:bCs/>
                <w:color w:val="000000"/>
                <w:sz w:val="20"/>
                <w:lang w:eastAsia="de-DE"/>
              </w:rPr>
            </w:pPr>
            <w:r>
              <w:rPr>
                <w:rFonts w:cs="Times New Roman"/>
                <w:b/>
                <w:sz w:val="20"/>
                <w:lang w:eastAsia="de-DE"/>
              </w:rPr>
              <w:t xml:space="preserve">Comparison group: </w:t>
            </w:r>
            <w:r>
              <w:rPr>
                <w:rFonts w:cs="Times New Roman"/>
                <w:b/>
                <w:bCs/>
                <w:color w:val="000000"/>
                <w:sz w:val="20"/>
                <w:lang w:eastAsia="de-DE"/>
              </w:rPr>
              <w:t>Controls</w:t>
            </w:r>
          </w:p>
        </w:tc>
        <w:tc>
          <w:tcPr>
            <w:tcW w:w="184" w:type="dxa"/>
            <w:tcBorders>
              <w:top w:val="single" w:sz="18" w:space="0" w:color="auto"/>
            </w:tcBorders>
          </w:tcPr>
          <w:p>
            <w:pPr>
              <w:pStyle w:val="KeinLeerraum"/>
              <w:rPr>
                <w:rFonts w:cs="Times New Roman"/>
                <w:b/>
                <w:bCs/>
                <w:color w:val="000000"/>
                <w:sz w:val="20"/>
                <w:lang w:eastAsia="de-DE"/>
              </w:rPr>
            </w:pPr>
          </w:p>
        </w:tc>
        <w:tc>
          <w:tcPr>
            <w:tcW w:w="3059" w:type="dxa"/>
            <w:gridSpan w:val="6"/>
            <w:tcBorders>
              <w:top w:val="single" w:sz="18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KeinLeerraum"/>
              <w:rPr>
                <w:rFonts w:cs="Times New Roman"/>
                <w:b/>
                <w:bCs/>
                <w:color w:val="000000"/>
                <w:sz w:val="20"/>
                <w:lang w:eastAsia="de-DE"/>
              </w:rPr>
            </w:pPr>
            <w:r>
              <w:rPr>
                <w:rFonts w:cs="Times New Roman"/>
                <w:b/>
                <w:sz w:val="20"/>
                <w:lang w:eastAsia="de-DE"/>
              </w:rPr>
              <w:t xml:space="preserve">Comparison group: </w:t>
            </w:r>
            <w:r>
              <w:rPr>
                <w:rFonts w:cs="Times New Roman"/>
                <w:b/>
                <w:bCs/>
                <w:color w:val="000000"/>
                <w:sz w:val="20"/>
                <w:lang w:eastAsia="de-DE"/>
              </w:rPr>
              <w:t>HHM-AHALD</w:t>
            </w:r>
            <w:r>
              <w:rPr>
                <w:rFonts w:cs="Times New Roman"/>
                <w:color w:val="FF0000"/>
                <w:sz w:val="20"/>
                <w:lang w:eastAsia="de-DE"/>
              </w:rPr>
              <w:t> </w:t>
            </w:r>
          </w:p>
        </w:tc>
      </w:tr>
      <w:tr>
        <w:trPr>
          <w:trHeight w:val="20"/>
        </w:trPr>
        <w:tc>
          <w:tcPr>
            <w:tcW w:w="4830" w:type="dxa"/>
            <w:gridSpan w:val="2"/>
            <w:tcBorders>
              <w:bottom w:val="single" w:sz="18" w:space="0" w:color="auto"/>
            </w:tcBorders>
          </w:tcPr>
          <w:p>
            <w:pPr>
              <w:pStyle w:val="KeinLeerraum"/>
              <w:rPr>
                <w:rFonts w:cs="Times New Roman"/>
                <w:b/>
                <w:color w:val="000000"/>
                <w:sz w:val="20"/>
              </w:rPr>
            </w:pPr>
            <w:r>
              <w:rPr>
                <w:rFonts w:cs="Times New Roman"/>
                <w:b/>
                <w:bCs/>
                <w:color w:val="000000"/>
                <w:sz w:val="20"/>
                <w:lang w:eastAsia="de-DE"/>
              </w:rPr>
              <w:t>Category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18" w:space="0" w:color="auto"/>
            </w:tcBorders>
            <w:shd w:val="clear" w:color="auto" w:fill="auto"/>
            <w:vAlign w:val="center"/>
            <w:hideMark/>
          </w:tcPr>
          <w:p>
            <w:pPr>
              <w:pStyle w:val="KeinLeerraum"/>
              <w:jc w:val="center"/>
              <w:rPr>
                <w:rFonts w:cs="Times New Roman"/>
                <w:b/>
                <w:bCs/>
                <w:color w:val="000000"/>
                <w:sz w:val="20"/>
                <w:lang w:eastAsia="de-DE"/>
              </w:rPr>
            </w:pPr>
            <w:r>
              <w:rPr>
                <w:rFonts w:cs="Times New Roman"/>
                <w:b/>
                <w:bCs/>
                <w:color w:val="000000"/>
                <w:sz w:val="20"/>
                <w:lang w:eastAsia="de-DE"/>
              </w:rPr>
              <w:t>N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18" w:space="0" w:color="auto"/>
            </w:tcBorders>
            <w:shd w:val="clear" w:color="auto" w:fill="auto"/>
            <w:vAlign w:val="center"/>
            <w:hideMark/>
          </w:tcPr>
          <w:p>
            <w:pPr>
              <w:pStyle w:val="KeinLeerraum"/>
              <w:jc w:val="center"/>
              <w:rPr>
                <w:rFonts w:cs="Times New Roman"/>
                <w:b/>
                <w:bCs/>
                <w:color w:val="000000"/>
                <w:sz w:val="20"/>
                <w:lang w:eastAsia="de-DE"/>
              </w:rPr>
            </w:pPr>
            <w:r>
              <w:rPr>
                <w:rFonts w:cs="Times New Roman"/>
                <w:b/>
                <w:bCs/>
                <w:color w:val="000000"/>
                <w:sz w:val="20"/>
                <w:lang w:eastAsia="de-DE"/>
              </w:rPr>
              <w:t>n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18" w:space="0" w:color="auto"/>
            </w:tcBorders>
            <w:shd w:val="clear" w:color="auto" w:fill="auto"/>
            <w:vAlign w:val="center"/>
            <w:hideMark/>
          </w:tcPr>
          <w:p>
            <w:pPr>
              <w:pStyle w:val="KeinLeerraum"/>
              <w:jc w:val="center"/>
              <w:rPr>
                <w:rFonts w:cs="Times New Roman"/>
                <w:b/>
                <w:bCs/>
                <w:color w:val="000000"/>
                <w:sz w:val="20"/>
                <w:lang w:eastAsia="de-DE"/>
              </w:rPr>
            </w:pPr>
            <w:r>
              <w:rPr>
                <w:rFonts w:cs="Times New Roman"/>
                <w:b/>
                <w:bCs/>
                <w:color w:val="000000"/>
                <w:sz w:val="20"/>
                <w:lang w:eastAsia="de-DE"/>
              </w:rPr>
              <w:t>%</w:t>
            </w:r>
          </w:p>
        </w:tc>
        <w:tc>
          <w:tcPr>
            <w:tcW w:w="178" w:type="dxa"/>
            <w:tcBorders>
              <w:bottom w:val="single" w:sz="18" w:space="0" w:color="auto"/>
            </w:tcBorders>
          </w:tcPr>
          <w:p>
            <w:pPr>
              <w:pStyle w:val="KeinLeerraum"/>
              <w:jc w:val="center"/>
              <w:rPr>
                <w:rFonts w:cs="Times New Roman"/>
                <w:b/>
                <w:bCs/>
                <w:color w:val="000000"/>
                <w:sz w:val="20"/>
                <w:lang w:eastAsia="de-DE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18" w:space="0" w:color="auto"/>
            </w:tcBorders>
            <w:shd w:val="clear" w:color="auto" w:fill="auto"/>
            <w:vAlign w:val="center"/>
            <w:hideMark/>
          </w:tcPr>
          <w:p>
            <w:pPr>
              <w:pStyle w:val="KeinLeerraum"/>
              <w:jc w:val="center"/>
              <w:rPr>
                <w:rFonts w:cs="Times New Roman"/>
                <w:b/>
                <w:bCs/>
                <w:color w:val="000000"/>
                <w:sz w:val="20"/>
                <w:lang w:eastAsia="de-DE"/>
              </w:rPr>
            </w:pPr>
            <w:r>
              <w:rPr>
                <w:rFonts w:cs="Times New Roman"/>
                <w:b/>
                <w:bCs/>
                <w:color w:val="000000"/>
                <w:sz w:val="20"/>
                <w:lang w:eastAsia="de-DE"/>
              </w:rPr>
              <w:t>N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18" w:space="0" w:color="auto"/>
            </w:tcBorders>
            <w:shd w:val="clear" w:color="auto" w:fill="auto"/>
            <w:vAlign w:val="center"/>
            <w:hideMark/>
          </w:tcPr>
          <w:p>
            <w:pPr>
              <w:pStyle w:val="KeinLeerraum"/>
              <w:jc w:val="center"/>
              <w:rPr>
                <w:rFonts w:cs="Times New Roman"/>
                <w:b/>
                <w:bCs/>
                <w:color w:val="000000"/>
                <w:sz w:val="20"/>
                <w:lang w:eastAsia="de-DE"/>
              </w:rPr>
            </w:pPr>
            <w:r>
              <w:rPr>
                <w:rFonts w:cs="Times New Roman"/>
                <w:b/>
                <w:bCs/>
                <w:color w:val="000000"/>
                <w:sz w:val="20"/>
                <w:lang w:eastAsia="de-DE"/>
              </w:rPr>
              <w:t>n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18" w:space="0" w:color="auto"/>
            </w:tcBorders>
            <w:shd w:val="clear" w:color="auto" w:fill="auto"/>
            <w:vAlign w:val="center"/>
            <w:hideMark/>
          </w:tcPr>
          <w:p>
            <w:pPr>
              <w:pStyle w:val="KeinLeerraum"/>
              <w:jc w:val="center"/>
              <w:rPr>
                <w:rFonts w:cs="Times New Roman"/>
                <w:b/>
                <w:bCs/>
                <w:color w:val="000000"/>
                <w:sz w:val="20"/>
                <w:lang w:eastAsia="de-DE"/>
              </w:rPr>
            </w:pPr>
            <w:r>
              <w:rPr>
                <w:rFonts w:cs="Times New Roman"/>
                <w:b/>
                <w:bCs/>
                <w:color w:val="000000"/>
                <w:sz w:val="20"/>
                <w:lang w:eastAsia="de-DE"/>
              </w:rPr>
              <w:t>%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18" w:space="0" w:color="auto"/>
            </w:tcBorders>
            <w:shd w:val="clear" w:color="auto" w:fill="auto"/>
            <w:vAlign w:val="center"/>
            <w:hideMark/>
          </w:tcPr>
          <w:p>
            <w:pPr>
              <w:pStyle w:val="KeinLeerraum"/>
              <w:jc w:val="center"/>
              <w:rPr>
                <w:rFonts w:cs="Times New Roman"/>
                <w:b/>
                <w:bCs/>
                <w:color w:val="000000"/>
                <w:sz w:val="20"/>
                <w:lang w:eastAsia="de-DE"/>
              </w:rPr>
            </w:pPr>
            <w:r>
              <w:rPr>
                <w:rFonts w:cs="Times New Roman"/>
                <w:b/>
                <w:bCs/>
                <w:color w:val="000000"/>
                <w:sz w:val="20"/>
                <w:lang w:eastAsia="de-DE"/>
              </w:rPr>
              <w:t>OR</w:t>
            </w:r>
          </w:p>
        </w:tc>
        <w:tc>
          <w:tcPr>
            <w:tcW w:w="867" w:type="dxa"/>
            <w:tcBorders>
              <w:top w:val="single" w:sz="6" w:space="0" w:color="auto"/>
              <w:bottom w:val="single" w:sz="18" w:space="0" w:color="auto"/>
            </w:tcBorders>
            <w:shd w:val="clear" w:color="auto" w:fill="auto"/>
            <w:vAlign w:val="center"/>
            <w:hideMark/>
          </w:tcPr>
          <w:p>
            <w:pPr>
              <w:pStyle w:val="KeinLeerraum"/>
              <w:jc w:val="center"/>
              <w:rPr>
                <w:rFonts w:cs="Times New Roman"/>
                <w:b/>
                <w:bCs/>
                <w:color w:val="000000"/>
                <w:sz w:val="20"/>
                <w:lang w:eastAsia="de-DE"/>
              </w:rPr>
            </w:pPr>
            <w:r>
              <w:rPr>
                <w:rFonts w:cs="Times New Roman"/>
                <w:b/>
                <w:bCs/>
                <w:color w:val="000000"/>
                <w:sz w:val="20"/>
                <w:lang w:eastAsia="de-DE"/>
              </w:rPr>
              <w:t>95% CI</w:t>
            </w:r>
          </w:p>
        </w:tc>
        <w:tc>
          <w:tcPr>
            <w:tcW w:w="763" w:type="dxa"/>
            <w:tcBorders>
              <w:top w:val="single" w:sz="6" w:space="0" w:color="auto"/>
              <w:bottom w:val="single" w:sz="18" w:space="0" w:color="auto"/>
            </w:tcBorders>
            <w:shd w:val="clear" w:color="auto" w:fill="auto"/>
            <w:vAlign w:val="center"/>
            <w:hideMark/>
          </w:tcPr>
          <w:p>
            <w:pPr>
              <w:pStyle w:val="KeinLeerraum"/>
              <w:jc w:val="center"/>
              <w:rPr>
                <w:rFonts w:cs="Times New Roman"/>
                <w:b/>
                <w:bCs/>
                <w:color w:val="000000"/>
                <w:sz w:val="20"/>
                <w:lang w:eastAsia="de-DE"/>
              </w:rPr>
            </w:pPr>
            <w:r>
              <w:rPr>
                <w:rFonts w:cs="Times New Roman"/>
                <w:b/>
                <w:bCs/>
                <w:color w:val="000000"/>
                <w:sz w:val="20"/>
                <w:lang w:eastAsia="de-DE"/>
              </w:rPr>
              <w:t>p</w:t>
            </w:r>
          </w:p>
        </w:tc>
        <w:tc>
          <w:tcPr>
            <w:tcW w:w="184" w:type="dxa"/>
            <w:tcBorders>
              <w:bottom w:val="single" w:sz="18" w:space="0" w:color="auto"/>
            </w:tcBorders>
          </w:tcPr>
          <w:p>
            <w:pPr>
              <w:pStyle w:val="KeinLeerraum"/>
              <w:jc w:val="center"/>
              <w:rPr>
                <w:rFonts w:cs="Times New Roman"/>
                <w:b/>
                <w:bCs/>
                <w:color w:val="000000"/>
                <w:sz w:val="20"/>
                <w:lang w:eastAsia="de-DE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18" w:space="0" w:color="auto"/>
            </w:tcBorders>
            <w:shd w:val="clear" w:color="auto" w:fill="auto"/>
            <w:vAlign w:val="center"/>
            <w:hideMark/>
          </w:tcPr>
          <w:p>
            <w:pPr>
              <w:pStyle w:val="KeinLeerraum"/>
              <w:jc w:val="center"/>
              <w:rPr>
                <w:rFonts w:cs="Times New Roman"/>
                <w:b/>
                <w:bCs/>
                <w:color w:val="000000"/>
                <w:sz w:val="20"/>
                <w:lang w:eastAsia="de-DE"/>
              </w:rPr>
            </w:pPr>
            <w:r>
              <w:rPr>
                <w:rFonts w:cs="Times New Roman"/>
                <w:b/>
                <w:bCs/>
                <w:color w:val="000000"/>
                <w:sz w:val="20"/>
                <w:lang w:eastAsia="de-DE"/>
              </w:rPr>
              <w:t>N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18" w:space="0" w:color="auto"/>
            </w:tcBorders>
            <w:shd w:val="clear" w:color="auto" w:fill="auto"/>
            <w:vAlign w:val="center"/>
            <w:hideMark/>
          </w:tcPr>
          <w:p>
            <w:pPr>
              <w:pStyle w:val="KeinLeerraum"/>
              <w:jc w:val="center"/>
              <w:rPr>
                <w:rFonts w:cs="Times New Roman"/>
                <w:b/>
                <w:bCs/>
                <w:color w:val="000000"/>
                <w:sz w:val="20"/>
                <w:lang w:eastAsia="de-DE"/>
              </w:rPr>
            </w:pPr>
            <w:r>
              <w:rPr>
                <w:rFonts w:cs="Times New Roman"/>
                <w:b/>
                <w:bCs/>
                <w:color w:val="000000"/>
                <w:sz w:val="20"/>
                <w:lang w:eastAsia="de-DE"/>
              </w:rPr>
              <w:t>n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18" w:space="0" w:color="auto"/>
            </w:tcBorders>
            <w:shd w:val="clear" w:color="auto" w:fill="auto"/>
            <w:vAlign w:val="center"/>
            <w:hideMark/>
          </w:tcPr>
          <w:p>
            <w:pPr>
              <w:pStyle w:val="KeinLeerraum"/>
              <w:jc w:val="center"/>
              <w:rPr>
                <w:rFonts w:cs="Times New Roman"/>
                <w:b/>
                <w:bCs/>
                <w:color w:val="000000"/>
                <w:sz w:val="20"/>
                <w:lang w:eastAsia="de-DE"/>
              </w:rPr>
            </w:pPr>
            <w:r>
              <w:rPr>
                <w:rFonts w:cs="Times New Roman"/>
                <w:b/>
                <w:bCs/>
                <w:color w:val="000000"/>
                <w:sz w:val="20"/>
                <w:lang w:eastAsia="de-DE"/>
              </w:rPr>
              <w:t>%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18" w:space="0" w:color="auto"/>
            </w:tcBorders>
            <w:shd w:val="clear" w:color="auto" w:fill="auto"/>
            <w:vAlign w:val="center"/>
            <w:hideMark/>
          </w:tcPr>
          <w:p>
            <w:pPr>
              <w:pStyle w:val="KeinLeerraum"/>
              <w:jc w:val="center"/>
              <w:rPr>
                <w:rFonts w:cs="Times New Roman"/>
                <w:b/>
                <w:bCs/>
                <w:color w:val="000000"/>
                <w:sz w:val="20"/>
                <w:lang w:eastAsia="de-DE"/>
              </w:rPr>
            </w:pPr>
            <w:r>
              <w:rPr>
                <w:rFonts w:cs="Times New Roman"/>
                <w:b/>
                <w:bCs/>
                <w:color w:val="000000"/>
                <w:sz w:val="20"/>
                <w:lang w:eastAsia="de-DE"/>
              </w:rPr>
              <w:t>OR</w:t>
            </w:r>
          </w:p>
        </w:tc>
        <w:tc>
          <w:tcPr>
            <w:tcW w:w="926" w:type="dxa"/>
            <w:tcBorders>
              <w:top w:val="single" w:sz="6" w:space="0" w:color="auto"/>
              <w:bottom w:val="single" w:sz="18" w:space="0" w:color="auto"/>
            </w:tcBorders>
            <w:shd w:val="clear" w:color="auto" w:fill="auto"/>
            <w:vAlign w:val="center"/>
            <w:hideMark/>
          </w:tcPr>
          <w:p>
            <w:pPr>
              <w:pStyle w:val="KeinLeerraum"/>
              <w:jc w:val="center"/>
              <w:rPr>
                <w:rFonts w:cs="Times New Roman"/>
                <w:b/>
                <w:bCs/>
                <w:color w:val="000000"/>
                <w:sz w:val="20"/>
                <w:lang w:eastAsia="de-DE"/>
              </w:rPr>
            </w:pPr>
            <w:r>
              <w:rPr>
                <w:rFonts w:cs="Times New Roman"/>
                <w:b/>
                <w:bCs/>
                <w:color w:val="000000"/>
                <w:sz w:val="20"/>
                <w:lang w:eastAsia="de-DE"/>
              </w:rPr>
              <w:t>95% CI</w:t>
            </w:r>
          </w:p>
        </w:tc>
        <w:tc>
          <w:tcPr>
            <w:tcW w:w="698" w:type="dxa"/>
            <w:tcBorders>
              <w:top w:val="single" w:sz="6" w:space="0" w:color="auto"/>
              <w:bottom w:val="single" w:sz="18" w:space="0" w:color="auto"/>
            </w:tcBorders>
            <w:shd w:val="clear" w:color="auto" w:fill="auto"/>
            <w:vAlign w:val="center"/>
            <w:hideMark/>
          </w:tcPr>
          <w:p>
            <w:pPr>
              <w:pStyle w:val="KeinLeerraum"/>
              <w:jc w:val="center"/>
              <w:rPr>
                <w:rFonts w:cs="Times New Roman"/>
                <w:b/>
                <w:bCs/>
                <w:color w:val="000000"/>
                <w:sz w:val="20"/>
                <w:lang w:eastAsia="de-DE"/>
              </w:rPr>
            </w:pPr>
            <w:r>
              <w:rPr>
                <w:rFonts w:cs="Times New Roman"/>
                <w:b/>
                <w:bCs/>
                <w:color w:val="000000"/>
                <w:sz w:val="20"/>
                <w:lang w:eastAsia="de-DE"/>
              </w:rPr>
              <w:t>p</w:t>
            </w:r>
          </w:p>
        </w:tc>
      </w:tr>
      <w:tr>
        <w:trPr>
          <w:trHeight w:val="124"/>
        </w:trPr>
        <w:tc>
          <w:tcPr>
            <w:tcW w:w="4830" w:type="dxa"/>
            <w:gridSpan w:val="2"/>
            <w:tcBorders>
              <w:top w:val="single" w:sz="18" w:space="0" w:color="auto"/>
            </w:tcBorders>
          </w:tcPr>
          <w:p>
            <w:pPr>
              <w:pStyle w:val="KeinLeerraum"/>
              <w:rPr>
                <w:rFonts w:cs="Times New Roman"/>
                <w:b/>
                <w:color w:val="000000"/>
                <w:sz w:val="18"/>
                <w:szCs w:val="18"/>
              </w:rPr>
            </w:pPr>
            <w:r>
              <w:rPr>
                <w:rFonts w:cs="Times New Roman"/>
                <w:b/>
                <w:color w:val="000000"/>
                <w:sz w:val="18"/>
                <w:szCs w:val="18"/>
              </w:rPr>
              <w:t>sources</w:t>
            </w:r>
          </w:p>
        </w:tc>
        <w:tc>
          <w:tcPr>
            <w:tcW w:w="0" w:type="auto"/>
            <w:tcBorders>
              <w:top w:val="single" w:sz="1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sz w:val="18"/>
                <w:szCs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  <w:szCs w:val="18"/>
                <w:lang w:eastAsia="de-DE"/>
              </w:rPr>
            </w:pPr>
          </w:p>
        </w:tc>
        <w:tc>
          <w:tcPr>
            <w:tcW w:w="178" w:type="dxa"/>
            <w:tcBorders>
              <w:top w:val="single" w:sz="18" w:space="0" w:color="auto"/>
            </w:tcBorders>
          </w:tcPr>
          <w:p>
            <w:pPr>
              <w:pStyle w:val="KeinLeerraum"/>
              <w:jc w:val="center"/>
              <w:rPr>
                <w:rFonts w:cs="Times New Roman"/>
                <w:sz w:val="18"/>
                <w:szCs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  <w:szCs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  <w:szCs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  <w:szCs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  <w:szCs w:val="18"/>
                <w:lang w:eastAsia="de-DE"/>
              </w:rPr>
            </w:pPr>
          </w:p>
        </w:tc>
        <w:tc>
          <w:tcPr>
            <w:tcW w:w="867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  <w:szCs w:val="18"/>
                <w:lang w:eastAsia="de-DE"/>
              </w:rPr>
            </w:pPr>
          </w:p>
        </w:tc>
        <w:tc>
          <w:tcPr>
            <w:tcW w:w="763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  <w:szCs w:val="18"/>
                <w:lang w:eastAsia="de-DE"/>
              </w:rPr>
            </w:pPr>
          </w:p>
        </w:tc>
        <w:tc>
          <w:tcPr>
            <w:tcW w:w="184" w:type="dxa"/>
            <w:tcBorders>
              <w:top w:val="single" w:sz="18" w:space="0" w:color="auto"/>
            </w:tcBorders>
          </w:tcPr>
          <w:p>
            <w:pPr>
              <w:pStyle w:val="KeinLeerraum"/>
              <w:jc w:val="center"/>
              <w:rPr>
                <w:rFonts w:cs="Times New Roman"/>
                <w:sz w:val="18"/>
                <w:szCs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  <w:szCs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  <w:szCs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  <w:szCs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  <w:szCs w:val="18"/>
                <w:lang w:eastAsia="de-DE"/>
              </w:rPr>
            </w:pPr>
          </w:p>
        </w:tc>
        <w:tc>
          <w:tcPr>
            <w:tcW w:w="92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  <w:szCs w:val="18"/>
                <w:lang w:eastAsia="de-DE"/>
              </w:rPr>
            </w:pPr>
          </w:p>
        </w:tc>
        <w:tc>
          <w:tcPr>
            <w:tcW w:w="698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  <w:szCs w:val="18"/>
                <w:lang w:eastAsia="de-DE"/>
              </w:rPr>
            </w:pP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using water mist for cosmetic purposes at home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122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</w:t>
            </w:r>
          </w:p>
        </w:tc>
        <w:tc>
          <w:tcPr>
            <w:tcW w:w="178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und.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und.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</w:t>
            </w:r>
          </w:p>
        </w:tc>
        <w:tc>
          <w:tcPr>
            <w:tcW w:w="184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Cs w:val="20"/>
              </w:rPr>
            </w:pP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indoor fountain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124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</w:t>
            </w:r>
          </w:p>
        </w:tc>
        <w:tc>
          <w:tcPr>
            <w:tcW w:w="178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0.0–0.6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0.02</w:t>
            </w:r>
          </w:p>
        </w:tc>
        <w:tc>
          <w:tcPr>
            <w:tcW w:w="184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C45911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</w:rPr>
            </w:pPr>
            <w:r>
              <w:rPr>
                <w:rFonts w:cs="Times New Roman"/>
                <w:color w:val="000000"/>
                <w:sz w:val="18"/>
              </w:rPr>
              <w:t>und.</w:t>
            </w:r>
          </w:p>
        </w:tc>
        <w:tc>
          <w:tcPr>
            <w:tcW w:w="926" w:type="dxa"/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</w:rPr>
            </w:pPr>
            <w:r>
              <w:rPr>
                <w:rFonts w:cs="Times New Roman"/>
                <w:color w:val="000000"/>
                <w:sz w:val="18"/>
              </w:rPr>
              <w:t>und.</w:t>
            </w:r>
          </w:p>
        </w:tc>
        <w:tc>
          <w:tcPr>
            <w:tcW w:w="698" w:type="dxa"/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</w:rPr>
            </w:pPr>
            <w:r>
              <w:rPr>
                <w:rFonts w:cs="Times New Roman"/>
                <w:color w:val="000000"/>
                <w:sz w:val="18"/>
              </w:rPr>
              <w:t>und.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use of oral irrigator *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123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</w:t>
            </w:r>
          </w:p>
        </w:tc>
        <w:tc>
          <w:tcPr>
            <w:tcW w:w="178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0.1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0.0–0.3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&lt; 0.001</w:t>
            </w:r>
          </w:p>
        </w:tc>
        <w:tc>
          <w:tcPr>
            <w:tcW w:w="184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C45911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</w:rPr>
            </w:pPr>
            <w:r>
              <w:rPr>
                <w:rFonts w:cs="Times New Roman"/>
                <w:color w:val="000000"/>
                <w:sz w:val="18"/>
              </w:rPr>
              <w:t>und.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und.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und.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use of water filter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123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</w:t>
            </w:r>
          </w:p>
        </w:tc>
        <w:tc>
          <w:tcPr>
            <w:tcW w:w="178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0.3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0.1–0.9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0.02</w:t>
            </w:r>
          </w:p>
        </w:tc>
        <w:tc>
          <w:tcPr>
            <w:tcW w:w="184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C45911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1.5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0.2–72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wearing a CPAP mask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124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</w:t>
            </w:r>
          </w:p>
        </w:tc>
        <w:tc>
          <w:tcPr>
            <w:tcW w:w="178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0.4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0.0–1.9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0.34</w:t>
            </w:r>
          </w:p>
        </w:tc>
        <w:tc>
          <w:tcPr>
            <w:tcW w:w="184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</w:rPr>
            </w:pPr>
            <w:r>
              <w:rPr>
                <w:rFonts w:cs="Times New Roman"/>
                <w:color w:val="000000"/>
                <w:sz w:val="18"/>
              </w:rPr>
              <w:t>und.</w:t>
            </w:r>
          </w:p>
        </w:tc>
        <w:tc>
          <w:tcPr>
            <w:tcW w:w="926" w:type="dxa"/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</w:rPr>
            </w:pPr>
            <w:r>
              <w:rPr>
                <w:rFonts w:cs="Times New Roman"/>
                <w:color w:val="000000"/>
                <w:sz w:val="18"/>
              </w:rPr>
              <w:t>und.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und.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use of sparkling water maker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124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6</w:t>
            </w:r>
          </w:p>
        </w:tc>
        <w:tc>
          <w:tcPr>
            <w:tcW w:w="178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0.4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0.1–0.8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0.01</w:t>
            </w:r>
          </w:p>
        </w:tc>
        <w:tc>
          <w:tcPr>
            <w:tcW w:w="184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C45911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</w:rPr>
            </w:pPr>
            <w:r>
              <w:rPr>
                <w:rFonts w:cs="Times New Roman"/>
                <w:color w:val="000000"/>
                <w:sz w:val="18"/>
              </w:rPr>
              <w:t>und.</w:t>
            </w:r>
          </w:p>
        </w:tc>
        <w:tc>
          <w:tcPr>
            <w:tcW w:w="926" w:type="dxa"/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</w:rPr>
            </w:pPr>
            <w:r>
              <w:rPr>
                <w:rFonts w:cs="Times New Roman"/>
                <w:color w:val="000000"/>
                <w:sz w:val="18"/>
              </w:rPr>
              <w:t>und.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und.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 xml:space="preserve">exposure to a washing machine during filling/emptying 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39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67</w:t>
            </w:r>
          </w:p>
        </w:tc>
        <w:tc>
          <w:tcPr>
            <w:tcW w:w="178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99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0.4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0.2–1.0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0.04</w:t>
            </w:r>
          </w:p>
        </w:tc>
        <w:tc>
          <w:tcPr>
            <w:tcW w:w="184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C45911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0.5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0.1–2.0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0.28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fish tank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124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</w:t>
            </w:r>
          </w:p>
        </w:tc>
        <w:tc>
          <w:tcPr>
            <w:tcW w:w="178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0.4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0.0–2.2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0.34</w:t>
            </w:r>
          </w:p>
        </w:tc>
        <w:tc>
          <w:tcPr>
            <w:tcW w:w="184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und.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und.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und.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inhalational therapy at home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123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</w:t>
            </w:r>
          </w:p>
        </w:tc>
        <w:tc>
          <w:tcPr>
            <w:tcW w:w="178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0.4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0.0–4.4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0.66</w:t>
            </w:r>
          </w:p>
        </w:tc>
        <w:tc>
          <w:tcPr>
            <w:tcW w:w="184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Cs w:val="20"/>
              </w:rPr>
            </w:pP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handling compost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124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</w:t>
            </w:r>
          </w:p>
        </w:tc>
        <w:tc>
          <w:tcPr>
            <w:tcW w:w="178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0.4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0.1–1.2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0.08</w:t>
            </w:r>
          </w:p>
        </w:tc>
        <w:tc>
          <w:tcPr>
            <w:tcW w:w="184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0.6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0.1–3.7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0.42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b/>
                <w:color w:val="000000"/>
                <w:sz w:val="18"/>
              </w:rPr>
            </w:pPr>
            <w:r>
              <w:rPr>
                <w:rFonts w:cs="Times New Roman"/>
                <w:b/>
                <w:sz w:val="18"/>
              </w:rPr>
              <w:t>handling potting soil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123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</w:t>
            </w:r>
          </w:p>
        </w:tc>
        <w:tc>
          <w:tcPr>
            <w:tcW w:w="178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212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0.5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0.3–0.9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b/>
                <w:color w:val="C45911"/>
                <w:sz w:val="18"/>
              </w:rPr>
            </w:pPr>
            <w:r>
              <w:rPr>
                <w:rFonts w:cs="Times New Roman"/>
                <w:b/>
                <w:sz w:val="18"/>
              </w:rPr>
              <w:t>0.01</w:t>
            </w:r>
          </w:p>
        </w:tc>
        <w:tc>
          <w:tcPr>
            <w:tcW w:w="184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C45911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1.3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0.5–4.4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0.56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exposure to a dishwasher during filling/emptying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54</w:t>
            </w:r>
          </w:p>
        </w:tc>
        <w:tc>
          <w:tcPr>
            <w:tcW w:w="178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99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68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69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0.5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0.2–1.2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0.09</w:t>
            </w:r>
          </w:p>
        </w:tc>
        <w:tc>
          <w:tcPr>
            <w:tcW w:w="184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0.4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0.1–1.4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0.11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garden hose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123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11</w:t>
            </w:r>
          </w:p>
        </w:tc>
        <w:tc>
          <w:tcPr>
            <w:tcW w:w="178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0.6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0.3–1.1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0.08</w:t>
            </w:r>
          </w:p>
        </w:tc>
        <w:tc>
          <w:tcPr>
            <w:tcW w:w="184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0.5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0.2–1.7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0.26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garden shower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123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</w:t>
            </w:r>
          </w:p>
        </w:tc>
        <w:tc>
          <w:tcPr>
            <w:tcW w:w="178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0.6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0.0–7.3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</w:t>
            </w:r>
          </w:p>
        </w:tc>
        <w:tc>
          <w:tcPr>
            <w:tcW w:w="184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und.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und.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und.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consuming homemade ice cubes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121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7</w:t>
            </w:r>
          </w:p>
        </w:tc>
        <w:tc>
          <w:tcPr>
            <w:tcW w:w="178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0.6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0.2–1.4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0.20</w:t>
            </w:r>
          </w:p>
        </w:tc>
        <w:tc>
          <w:tcPr>
            <w:tcW w:w="184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Cs w:val="20"/>
              </w:rPr>
            </w:pP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humidifier at heating radiator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122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7</w:t>
            </w:r>
          </w:p>
        </w:tc>
        <w:tc>
          <w:tcPr>
            <w:tcW w:w="178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0.6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0.2–1.6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0.30</w:t>
            </w:r>
          </w:p>
        </w:tc>
        <w:tc>
          <w:tcPr>
            <w:tcW w:w="184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2.5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0.3–112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0.69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lawn sprinkler in own garden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119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</w:t>
            </w:r>
          </w:p>
        </w:tc>
        <w:tc>
          <w:tcPr>
            <w:tcW w:w="178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212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0.7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0.1–4.4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</w:t>
            </w:r>
          </w:p>
        </w:tc>
        <w:tc>
          <w:tcPr>
            <w:tcW w:w="184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Cs w:val="20"/>
              </w:rPr>
            </w:pP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misting of water to moisten plants in own greenhouse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122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</w:t>
            </w:r>
          </w:p>
        </w:tc>
        <w:tc>
          <w:tcPr>
            <w:tcW w:w="178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0.9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0.0–17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</w:t>
            </w:r>
          </w:p>
        </w:tc>
        <w:tc>
          <w:tcPr>
            <w:tcW w:w="184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0.3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0.0–23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0.41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air conditioner at home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123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</w:t>
            </w:r>
          </w:p>
        </w:tc>
        <w:tc>
          <w:tcPr>
            <w:tcW w:w="178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0.2–4.0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</w:t>
            </w:r>
          </w:p>
        </w:tc>
        <w:tc>
          <w:tcPr>
            <w:tcW w:w="184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und.</w:t>
            </w:r>
          </w:p>
        </w:tc>
        <w:tc>
          <w:tcPr>
            <w:tcW w:w="926" w:type="dxa"/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</w:rPr>
            </w:pPr>
            <w:r>
              <w:rPr>
                <w:rFonts w:cs="Times New Roman"/>
                <w:color w:val="000000"/>
                <w:sz w:val="18"/>
              </w:rPr>
              <w:t>und.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und.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room humidifier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124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</w:t>
            </w:r>
          </w:p>
        </w:tc>
        <w:tc>
          <w:tcPr>
            <w:tcW w:w="178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1.2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0.3–3.7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0.79</w:t>
            </w:r>
          </w:p>
        </w:tc>
        <w:tc>
          <w:tcPr>
            <w:tcW w:w="184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und.</w:t>
            </w:r>
          </w:p>
        </w:tc>
        <w:tc>
          <w:tcPr>
            <w:tcW w:w="926" w:type="dxa"/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</w:rPr>
            </w:pPr>
            <w:r>
              <w:rPr>
                <w:rFonts w:cs="Times New Roman"/>
                <w:color w:val="000000"/>
                <w:sz w:val="18"/>
              </w:rPr>
              <w:t>und.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0.34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wearing nightguard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96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</w:t>
            </w:r>
          </w:p>
        </w:tc>
        <w:tc>
          <w:tcPr>
            <w:tcW w:w="178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183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1.3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0.3–5.6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0.74</w:t>
            </w:r>
          </w:p>
        </w:tc>
        <w:tc>
          <w:tcPr>
            <w:tcW w:w="184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37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0.4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0.1–2.1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0.22</w:t>
            </w:r>
          </w:p>
        </w:tc>
      </w:tr>
      <w:tr>
        <w:trPr>
          <w:trHeight w:val="233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additional, non-communal water source, such as private well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122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7</w:t>
            </w:r>
          </w:p>
        </w:tc>
        <w:tc>
          <w:tcPr>
            <w:tcW w:w="178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1.4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0.5–4.2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0.46</w:t>
            </w:r>
          </w:p>
        </w:tc>
        <w:tc>
          <w:tcPr>
            <w:tcW w:w="184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Cs w:val="20"/>
              </w:rPr>
            </w:pP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wearing dentures at night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121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37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31</w:t>
            </w:r>
          </w:p>
        </w:tc>
        <w:tc>
          <w:tcPr>
            <w:tcW w:w="178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49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1.5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0.9–2.5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0.13</w:t>
            </w:r>
          </w:p>
        </w:tc>
        <w:tc>
          <w:tcPr>
            <w:tcW w:w="184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49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1.7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0.7–4.3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0.18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b/>
                <w:color w:val="000000"/>
                <w:sz w:val="18"/>
              </w:rPr>
            </w:pPr>
            <w:r>
              <w:rPr>
                <w:rFonts w:cs="Times New Roman"/>
                <w:b/>
                <w:sz w:val="18"/>
              </w:rPr>
              <w:t>wearing dentures during the day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121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58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48</w:t>
            </w:r>
          </w:p>
        </w:tc>
        <w:tc>
          <w:tcPr>
            <w:tcW w:w="178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1.7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1.1–2.7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b/>
                <w:color w:val="C45911"/>
                <w:sz w:val="18"/>
              </w:rPr>
            </w:pPr>
            <w:r>
              <w:rPr>
                <w:rFonts w:cs="Times New Roman"/>
                <w:b/>
                <w:sz w:val="18"/>
              </w:rPr>
              <w:t>0.02</w:t>
            </w:r>
          </w:p>
        </w:tc>
        <w:tc>
          <w:tcPr>
            <w:tcW w:w="184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C45911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49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1.9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0.9–4.1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0.07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wearing dentures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121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58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48</w:t>
            </w:r>
          </w:p>
        </w:tc>
        <w:tc>
          <w:tcPr>
            <w:tcW w:w="178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1.7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1.1–2.7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0.02</w:t>
            </w:r>
          </w:p>
        </w:tc>
        <w:tc>
          <w:tcPr>
            <w:tcW w:w="184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C45911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49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1.9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0.9–4.1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0.07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wearing dentures, braces or night guard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121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62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51</w:t>
            </w:r>
          </w:p>
        </w:tc>
        <w:tc>
          <w:tcPr>
            <w:tcW w:w="178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38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1.8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1.1–2.8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0.02</w:t>
            </w:r>
          </w:p>
        </w:tc>
        <w:tc>
          <w:tcPr>
            <w:tcW w:w="184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C45911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49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1.3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0.6–2.7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0.45</w:t>
            </w:r>
          </w:p>
        </w:tc>
      </w:tr>
      <w:tr>
        <w:trPr>
          <w:trHeight w:val="20"/>
        </w:trPr>
        <w:tc>
          <w:tcPr>
            <w:tcW w:w="152" w:type="dxa"/>
            <w:tcBorders>
              <w:bottom w:val="single" w:sz="8" w:space="0" w:color="auto"/>
            </w:tcBorders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46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wearing braces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96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</w:t>
            </w:r>
          </w:p>
        </w:tc>
        <w:tc>
          <w:tcPr>
            <w:tcW w:w="178" w:type="dxa"/>
            <w:tcBorders>
              <w:bottom w:val="single" w:sz="8" w:space="0" w:color="auto"/>
            </w:tcBorders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183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1.9</w:t>
            </w:r>
          </w:p>
        </w:tc>
        <w:tc>
          <w:tcPr>
            <w:tcW w:w="86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0.0–151</w:t>
            </w:r>
          </w:p>
        </w:tc>
        <w:tc>
          <w:tcPr>
            <w:tcW w:w="76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</w:t>
            </w:r>
          </w:p>
        </w:tc>
        <w:tc>
          <w:tcPr>
            <w:tcW w:w="184" w:type="dxa"/>
            <w:tcBorders>
              <w:bottom w:val="single" w:sz="8" w:space="0" w:color="auto"/>
            </w:tcBorders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37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0.2</w:t>
            </w:r>
          </w:p>
        </w:tc>
        <w:tc>
          <w:tcPr>
            <w:tcW w:w="9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0.0–3.7</w:t>
            </w:r>
          </w:p>
        </w:tc>
        <w:tc>
          <w:tcPr>
            <w:tcW w:w="69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0.19</w:t>
            </w:r>
          </w:p>
        </w:tc>
      </w:tr>
      <w:tr>
        <w:trPr>
          <w:trHeight w:val="20"/>
        </w:trPr>
        <w:tc>
          <w:tcPr>
            <w:tcW w:w="4830" w:type="dxa"/>
            <w:gridSpan w:val="2"/>
            <w:tcBorders>
              <w:top w:val="single" w:sz="8" w:space="0" w:color="auto"/>
            </w:tcBorders>
          </w:tcPr>
          <w:p>
            <w:pPr>
              <w:pStyle w:val="KeinLeerraum"/>
              <w:rPr>
                <w:rFonts w:cs="Times New Roman"/>
                <w:b/>
                <w:color w:val="000000"/>
                <w:sz w:val="18"/>
                <w:lang w:eastAsia="de-DE"/>
              </w:rPr>
            </w:pPr>
            <w:r>
              <w:rPr>
                <w:rFonts w:cs="Times New Roman"/>
                <w:b/>
                <w:color w:val="000000"/>
                <w:sz w:val="18"/>
                <w:lang w:eastAsia="de-DE"/>
              </w:rPr>
              <w:t>habits related to showers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178" w:type="dxa"/>
            <w:tcBorders>
              <w:top w:val="single" w:sz="8" w:space="0" w:color="auto"/>
            </w:tcBorders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86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76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184" w:type="dxa"/>
            <w:tcBorders>
              <w:top w:val="single" w:sz="8" w:space="0" w:color="auto"/>
            </w:tcBorders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92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69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brushing one’s teeth under the shower **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123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</w:t>
            </w:r>
          </w:p>
        </w:tc>
        <w:tc>
          <w:tcPr>
            <w:tcW w:w="178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0.0–0.5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0.003</w:t>
            </w:r>
          </w:p>
        </w:tc>
        <w:tc>
          <w:tcPr>
            <w:tcW w:w="184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C45911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58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und.</w:t>
            </w:r>
          </w:p>
        </w:tc>
        <w:tc>
          <w:tcPr>
            <w:tcW w:w="926" w:type="dxa"/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</w:rPr>
            </w:pPr>
            <w:r>
              <w:rPr>
                <w:rFonts w:cs="Times New Roman"/>
                <w:color w:val="000000"/>
                <w:sz w:val="18"/>
              </w:rPr>
              <w:t>und.</w:t>
            </w:r>
          </w:p>
        </w:tc>
        <w:tc>
          <w:tcPr>
            <w:tcW w:w="698" w:type="dxa"/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</w:rPr>
            </w:pPr>
            <w:r>
              <w:rPr>
                <w:rFonts w:cs="Times New Roman"/>
                <w:color w:val="000000"/>
                <w:sz w:val="18"/>
              </w:rPr>
              <w:t>und.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showering at home, midday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97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</w:t>
            </w:r>
          </w:p>
        </w:tc>
        <w:tc>
          <w:tcPr>
            <w:tcW w:w="178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166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0.3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0.1–1.0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0.03</w:t>
            </w:r>
          </w:p>
        </w:tc>
        <w:tc>
          <w:tcPr>
            <w:tcW w:w="184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C45911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0.3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0.1–1.2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0.07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showering at home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123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81</w:t>
            </w:r>
          </w:p>
        </w:tc>
        <w:tc>
          <w:tcPr>
            <w:tcW w:w="178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195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91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0.4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0.2–0.9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0.01</w:t>
            </w:r>
          </w:p>
        </w:tc>
        <w:tc>
          <w:tcPr>
            <w:tcW w:w="184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C45911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59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52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88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0.6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0.2–1.5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0.25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showering at home, morning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97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44</w:t>
            </w:r>
          </w:p>
        </w:tc>
        <w:tc>
          <w:tcPr>
            <w:tcW w:w="178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165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114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69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0.4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0.2–0.6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&lt; 0.001</w:t>
            </w:r>
          </w:p>
        </w:tc>
        <w:tc>
          <w:tcPr>
            <w:tcW w:w="184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C45911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58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0.6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0.3–1.3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0.13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use of shower head</w:t>
            </w:r>
            <w:r>
              <w:rPr>
                <w:rFonts w:cs="Times New Roman"/>
                <w:b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123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107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87</w:t>
            </w:r>
          </w:p>
        </w:tc>
        <w:tc>
          <w:tcPr>
            <w:tcW w:w="178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204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95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0.4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0.2–0.9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0.01</w:t>
            </w:r>
          </w:p>
        </w:tc>
        <w:tc>
          <w:tcPr>
            <w:tcW w:w="184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C45911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59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93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0.5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0.1–1.6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0.21</w:t>
            </w:r>
          </w:p>
        </w:tc>
      </w:tr>
      <w:tr>
        <w:trPr>
          <w:trHeight w:val="20"/>
        </w:trPr>
        <w:tc>
          <w:tcPr>
            <w:tcW w:w="152" w:type="dxa"/>
            <w:tcBorders>
              <w:bottom w:val="single" w:sz="8" w:space="0" w:color="auto"/>
            </w:tcBorders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46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showering at home, evening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97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37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38</w:t>
            </w:r>
          </w:p>
        </w:tc>
        <w:tc>
          <w:tcPr>
            <w:tcW w:w="178" w:type="dxa"/>
            <w:tcBorders>
              <w:bottom w:val="single" w:sz="8" w:space="0" w:color="auto"/>
            </w:tcBorders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167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51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31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1.4</w:t>
            </w:r>
          </w:p>
        </w:tc>
        <w:tc>
          <w:tcPr>
            <w:tcW w:w="86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0.8–2.5</w:t>
            </w:r>
          </w:p>
        </w:tc>
        <w:tc>
          <w:tcPr>
            <w:tcW w:w="76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0.21</w:t>
            </w:r>
          </w:p>
        </w:tc>
        <w:tc>
          <w:tcPr>
            <w:tcW w:w="184" w:type="dxa"/>
            <w:tcBorders>
              <w:bottom w:val="single" w:sz="8" w:space="0" w:color="auto"/>
            </w:tcBorders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43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11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26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1.8</w:t>
            </w:r>
          </w:p>
        </w:tc>
        <w:tc>
          <w:tcPr>
            <w:tcW w:w="9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0.8–4.4</w:t>
            </w:r>
          </w:p>
        </w:tc>
        <w:tc>
          <w:tcPr>
            <w:tcW w:w="69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0.15</w:t>
            </w:r>
          </w:p>
        </w:tc>
      </w:tr>
      <w:tr>
        <w:trPr>
          <w:trHeight w:val="20"/>
        </w:trPr>
        <w:tc>
          <w:tcPr>
            <w:tcW w:w="4830" w:type="dxa"/>
            <w:gridSpan w:val="2"/>
            <w:tcBorders>
              <w:top w:val="single" w:sz="8" w:space="0" w:color="auto"/>
            </w:tcBorders>
          </w:tcPr>
          <w:p>
            <w:pPr>
              <w:pStyle w:val="KeinLeerraum"/>
              <w:rPr>
                <w:rFonts w:cs="Times New Roman"/>
                <w:b/>
                <w:color w:val="000000"/>
                <w:sz w:val="18"/>
                <w:lang w:eastAsia="de-DE"/>
              </w:rPr>
            </w:pPr>
            <w:r>
              <w:rPr>
                <w:rFonts w:cs="Times New Roman"/>
                <w:b/>
                <w:color w:val="000000"/>
                <w:sz w:val="18"/>
                <w:lang w:eastAsia="de-DE"/>
              </w:rPr>
              <w:t>habits related to bathing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178" w:type="dxa"/>
            <w:tcBorders>
              <w:top w:val="single" w:sz="8" w:space="0" w:color="auto"/>
            </w:tcBorders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86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76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184" w:type="dxa"/>
            <w:tcBorders>
              <w:top w:val="single" w:sz="8" w:space="0" w:color="auto"/>
            </w:tcBorders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92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69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bathing at home, midday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</w:t>
            </w:r>
          </w:p>
        </w:tc>
        <w:tc>
          <w:tcPr>
            <w:tcW w:w="178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195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0.4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0.0–3.5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0.67</w:t>
            </w:r>
          </w:p>
        </w:tc>
        <w:tc>
          <w:tcPr>
            <w:tcW w:w="184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und.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und.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und.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staying in bathroom while bathtub is being filled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122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</w:t>
            </w:r>
          </w:p>
        </w:tc>
        <w:tc>
          <w:tcPr>
            <w:tcW w:w="178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0.8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0.5–1.4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0.46</w:t>
            </w:r>
          </w:p>
        </w:tc>
        <w:tc>
          <w:tcPr>
            <w:tcW w:w="184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59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0.8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0.4–1.8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0.54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bathing at home, evening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11</w:t>
            </w:r>
          </w:p>
        </w:tc>
        <w:tc>
          <w:tcPr>
            <w:tcW w:w="178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195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0.4–2.2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0.94</w:t>
            </w:r>
          </w:p>
        </w:tc>
        <w:tc>
          <w:tcPr>
            <w:tcW w:w="184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0.6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0.2–1.7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0.25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bathing at home, morning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</w:t>
            </w:r>
          </w:p>
        </w:tc>
        <w:tc>
          <w:tcPr>
            <w:tcW w:w="178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195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0.2–3.8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</w:t>
            </w:r>
          </w:p>
        </w:tc>
        <w:tc>
          <w:tcPr>
            <w:tcW w:w="184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2.1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0.2–105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0.66</w:t>
            </w:r>
          </w:p>
        </w:tc>
      </w:tr>
      <w:tr>
        <w:trPr>
          <w:trHeight w:val="20"/>
        </w:trPr>
        <w:tc>
          <w:tcPr>
            <w:tcW w:w="152" w:type="dxa"/>
            <w:tcBorders>
              <w:bottom w:val="single" w:sz="8" w:space="0" w:color="auto"/>
            </w:tcBorders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46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bathing at home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120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35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29</w:t>
            </w:r>
          </w:p>
        </w:tc>
        <w:tc>
          <w:tcPr>
            <w:tcW w:w="178" w:type="dxa"/>
            <w:tcBorders>
              <w:bottom w:val="single" w:sz="8" w:space="0" w:color="auto"/>
            </w:tcBorders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214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52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24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1.3</w:t>
            </w:r>
          </w:p>
        </w:tc>
        <w:tc>
          <w:tcPr>
            <w:tcW w:w="86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0.8–2.2</w:t>
            </w:r>
          </w:p>
        </w:tc>
        <w:tc>
          <w:tcPr>
            <w:tcW w:w="76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0.33</w:t>
            </w:r>
          </w:p>
        </w:tc>
        <w:tc>
          <w:tcPr>
            <w:tcW w:w="184" w:type="dxa"/>
            <w:tcBorders>
              <w:bottom w:val="single" w:sz="8" w:space="0" w:color="auto"/>
            </w:tcBorders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58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18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31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0.9</w:t>
            </w:r>
          </w:p>
        </w:tc>
        <w:tc>
          <w:tcPr>
            <w:tcW w:w="9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0.4–1.9</w:t>
            </w:r>
          </w:p>
        </w:tc>
        <w:tc>
          <w:tcPr>
            <w:tcW w:w="69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0.80</w:t>
            </w:r>
          </w:p>
        </w:tc>
      </w:tr>
      <w:tr>
        <w:trPr>
          <w:trHeight w:val="20"/>
        </w:trPr>
        <w:tc>
          <w:tcPr>
            <w:tcW w:w="4830" w:type="dxa"/>
            <w:gridSpan w:val="2"/>
            <w:tcBorders>
              <w:top w:val="single" w:sz="8" w:space="0" w:color="auto"/>
            </w:tcBorders>
          </w:tcPr>
          <w:p>
            <w:pPr>
              <w:pStyle w:val="KeinLeerraum"/>
              <w:rPr>
                <w:rFonts w:cs="Times New Roman"/>
                <w:b/>
                <w:color w:val="000000"/>
                <w:sz w:val="18"/>
                <w:szCs w:val="18"/>
              </w:rPr>
            </w:pPr>
            <w:r>
              <w:rPr>
                <w:rFonts w:cs="Times New Roman"/>
                <w:b/>
                <w:color w:val="000000"/>
                <w:sz w:val="18"/>
                <w:szCs w:val="18"/>
              </w:rPr>
              <w:t>habits related to tap water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  <w:szCs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  <w:szCs w:val="18"/>
                <w:lang w:eastAsia="de-DE"/>
              </w:rPr>
            </w:pPr>
          </w:p>
        </w:tc>
        <w:tc>
          <w:tcPr>
            <w:tcW w:w="178" w:type="dxa"/>
            <w:tcBorders>
              <w:top w:val="single" w:sz="8" w:space="0" w:color="auto"/>
            </w:tcBorders>
          </w:tcPr>
          <w:p>
            <w:pPr>
              <w:pStyle w:val="KeinLeerraum"/>
              <w:jc w:val="center"/>
              <w:rPr>
                <w:rFonts w:cs="Times New Roman"/>
                <w:sz w:val="18"/>
                <w:szCs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  <w:szCs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  <w:szCs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  <w:szCs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  <w:szCs w:val="18"/>
                <w:lang w:eastAsia="de-DE"/>
              </w:rPr>
            </w:pPr>
          </w:p>
        </w:tc>
        <w:tc>
          <w:tcPr>
            <w:tcW w:w="86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  <w:szCs w:val="18"/>
                <w:lang w:eastAsia="de-DE"/>
              </w:rPr>
            </w:pPr>
          </w:p>
        </w:tc>
        <w:tc>
          <w:tcPr>
            <w:tcW w:w="76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  <w:szCs w:val="18"/>
                <w:lang w:eastAsia="de-DE"/>
              </w:rPr>
            </w:pPr>
          </w:p>
        </w:tc>
        <w:tc>
          <w:tcPr>
            <w:tcW w:w="184" w:type="dxa"/>
            <w:tcBorders>
              <w:top w:val="single" w:sz="8" w:space="0" w:color="auto"/>
            </w:tcBorders>
          </w:tcPr>
          <w:p>
            <w:pPr>
              <w:pStyle w:val="KeinLeerraum"/>
              <w:jc w:val="center"/>
              <w:rPr>
                <w:rFonts w:cs="Times New Roman"/>
                <w:sz w:val="18"/>
                <w:szCs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  <w:szCs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  <w:szCs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  <w:szCs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  <w:szCs w:val="18"/>
                <w:lang w:eastAsia="de-DE"/>
              </w:rPr>
            </w:pPr>
          </w:p>
        </w:tc>
        <w:tc>
          <w:tcPr>
            <w:tcW w:w="92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  <w:szCs w:val="18"/>
                <w:lang w:eastAsia="de-DE"/>
              </w:rPr>
            </w:pPr>
          </w:p>
        </w:tc>
        <w:tc>
          <w:tcPr>
            <w:tcW w:w="69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  <w:szCs w:val="18"/>
                <w:lang w:eastAsia="de-DE"/>
              </w:rPr>
            </w:pP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drinking water directly from the tap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124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11</w:t>
            </w:r>
          </w:p>
        </w:tc>
        <w:tc>
          <w:tcPr>
            <w:tcW w:w="178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0.8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0.4–1.5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0.41</w:t>
            </w:r>
          </w:p>
        </w:tc>
        <w:tc>
          <w:tcPr>
            <w:tcW w:w="184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57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1.1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0.4–3.6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0.88</w:t>
            </w:r>
          </w:p>
        </w:tc>
      </w:tr>
      <w:tr>
        <w:trPr>
          <w:trHeight w:val="20"/>
        </w:trPr>
        <w:tc>
          <w:tcPr>
            <w:tcW w:w="152" w:type="dxa"/>
            <w:tcBorders>
              <w:bottom w:val="single" w:sz="8" w:space="0" w:color="auto"/>
            </w:tcBorders>
          </w:tcPr>
          <w:p>
            <w:pPr>
              <w:pStyle w:val="KeinLeerraum"/>
              <w:rPr>
                <w:rFonts w:cs="Times New Roman"/>
                <w:b/>
                <w:color w:val="000000"/>
                <w:sz w:val="18"/>
              </w:rPr>
            </w:pPr>
          </w:p>
        </w:tc>
        <w:tc>
          <w:tcPr>
            <w:tcW w:w="46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b/>
                <w:color w:val="000000"/>
                <w:sz w:val="18"/>
              </w:rPr>
            </w:pPr>
            <w:r>
              <w:rPr>
                <w:rFonts w:cs="Times New Roman"/>
                <w:b/>
                <w:color w:val="000000"/>
                <w:sz w:val="18"/>
              </w:rPr>
              <w:t>washing dishes by hand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123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77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63</w:t>
            </w:r>
          </w:p>
        </w:tc>
        <w:tc>
          <w:tcPr>
            <w:tcW w:w="178" w:type="dxa"/>
            <w:tcBorders>
              <w:bottom w:val="single" w:sz="8" w:space="0" w:color="auto"/>
            </w:tcBorders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213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146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69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0.8</w:t>
            </w:r>
          </w:p>
        </w:tc>
        <w:tc>
          <w:tcPr>
            <w:tcW w:w="86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0.5–1.3</w:t>
            </w:r>
          </w:p>
        </w:tc>
        <w:tc>
          <w:tcPr>
            <w:tcW w:w="76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0.27</w:t>
            </w:r>
          </w:p>
        </w:tc>
        <w:tc>
          <w:tcPr>
            <w:tcW w:w="184" w:type="dxa"/>
            <w:tcBorders>
              <w:bottom w:val="single" w:sz="8" w:space="0" w:color="auto"/>
            </w:tcBorders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36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29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81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0.4</w:t>
            </w:r>
          </w:p>
        </w:tc>
        <w:tc>
          <w:tcPr>
            <w:tcW w:w="9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0.1–1.0</w:t>
            </w:r>
          </w:p>
        </w:tc>
        <w:tc>
          <w:tcPr>
            <w:tcW w:w="69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b/>
                <w:color w:val="C45911"/>
                <w:sz w:val="18"/>
              </w:rPr>
            </w:pPr>
            <w:r>
              <w:rPr>
                <w:rFonts w:cs="Times New Roman"/>
                <w:b/>
                <w:sz w:val="18"/>
                <w:szCs w:val="16"/>
              </w:rPr>
              <w:t>0.04</w:t>
            </w:r>
          </w:p>
        </w:tc>
      </w:tr>
      <w:tr>
        <w:trPr>
          <w:trHeight w:val="20"/>
        </w:trPr>
        <w:tc>
          <w:tcPr>
            <w:tcW w:w="4830" w:type="dxa"/>
            <w:gridSpan w:val="2"/>
            <w:tcBorders>
              <w:top w:val="single" w:sz="8" w:space="0" w:color="auto"/>
            </w:tcBorders>
          </w:tcPr>
          <w:p>
            <w:pPr>
              <w:pStyle w:val="KeinLeerraum"/>
              <w:rPr>
                <w:rFonts w:cs="Times New Roman"/>
                <w:b/>
                <w:color w:val="000000"/>
                <w:sz w:val="18"/>
              </w:rPr>
            </w:pPr>
            <w:r>
              <w:rPr>
                <w:rFonts w:cs="Times New Roman"/>
                <w:b/>
                <w:color w:val="000000"/>
                <w:sz w:val="18"/>
              </w:rPr>
              <w:t>habits related to vacantness of residence ***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178" w:type="dxa"/>
            <w:tcBorders>
              <w:top w:val="single" w:sz="8" w:space="0" w:color="auto"/>
            </w:tcBorders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86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76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184" w:type="dxa"/>
            <w:tcBorders>
              <w:top w:val="single" w:sz="8" w:space="0" w:color="auto"/>
            </w:tcBorders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92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69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having drunken water directly from the tap after vacantness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115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</w:t>
            </w:r>
          </w:p>
        </w:tc>
        <w:tc>
          <w:tcPr>
            <w:tcW w:w="178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0.5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0.0–4.7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0.66</w:t>
            </w:r>
          </w:p>
        </w:tc>
        <w:tc>
          <w:tcPr>
            <w:tcW w:w="184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48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0.4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0.0–33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0.50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having been the first person to drink water directly from the tap after vacantness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114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</w:t>
            </w:r>
          </w:p>
        </w:tc>
        <w:tc>
          <w:tcPr>
            <w:tcW w:w="178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0.6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0.0–7.8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</w:t>
            </w:r>
          </w:p>
        </w:tc>
        <w:tc>
          <w:tcPr>
            <w:tcW w:w="184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48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0.4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0.0–33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0.51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having showered after vacantness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115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8</w:t>
            </w:r>
          </w:p>
        </w:tc>
        <w:tc>
          <w:tcPr>
            <w:tcW w:w="178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0.6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0.2–1.3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0.17</w:t>
            </w:r>
          </w:p>
        </w:tc>
        <w:tc>
          <w:tcPr>
            <w:tcW w:w="184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48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2.0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0.4–19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0.51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vacantness of residence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115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9</w:t>
            </w:r>
          </w:p>
        </w:tc>
        <w:tc>
          <w:tcPr>
            <w:tcW w:w="178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0.6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0.2–1.3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0.15</w:t>
            </w:r>
          </w:p>
        </w:tc>
        <w:tc>
          <w:tcPr>
            <w:tcW w:w="184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48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2.2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0.4–21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0.51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having been the first person to shower after vacantness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114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6</w:t>
            </w:r>
          </w:p>
        </w:tc>
        <w:tc>
          <w:tcPr>
            <w:tcW w:w="178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205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1.2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0.4–3.4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0.77</w:t>
            </w:r>
          </w:p>
        </w:tc>
        <w:tc>
          <w:tcPr>
            <w:tcW w:w="184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48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1.5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0.3–15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having been the first person to bath after vacantness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114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</w:t>
            </w:r>
          </w:p>
        </w:tc>
        <w:tc>
          <w:tcPr>
            <w:tcW w:w="178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1.9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0.5–7.3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0.36</w:t>
            </w:r>
          </w:p>
        </w:tc>
        <w:tc>
          <w:tcPr>
            <w:tcW w:w="184" w:type="dxa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48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und.</w:t>
            </w:r>
          </w:p>
        </w:tc>
        <w:tc>
          <w:tcPr>
            <w:tcW w:w="926" w:type="dxa"/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</w:rPr>
            </w:pPr>
            <w:r>
              <w:rPr>
                <w:rFonts w:cs="Times New Roman"/>
                <w:color w:val="000000"/>
                <w:sz w:val="18"/>
              </w:rPr>
              <w:t>und.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0.18</w:t>
            </w:r>
          </w:p>
        </w:tc>
      </w:tr>
      <w:tr>
        <w:trPr>
          <w:trHeight w:val="20"/>
        </w:trPr>
        <w:tc>
          <w:tcPr>
            <w:tcW w:w="152" w:type="dxa"/>
            <w:tcBorders>
              <w:bottom w:val="single" w:sz="8" w:space="0" w:color="auto"/>
            </w:tcBorders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46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having bathed after vacantness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115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7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6</w:t>
            </w:r>
          </w:p>
        </w:tc>
        <w:tc>
          <w:tcPr>
            <w:tcW w:w="178" w:type="dxa"/>
            <w:tcBorders>
              <w:bottom w:val="single" w:sz="8" w:space="0" w:color="auto"/>
            </w:tcBorders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211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2.7</w:t>
            </w:r>
          </w:p>
        </w:tc>
        <w:tc>
          <w:tcPr>
            <w:tcW w:w="86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0.7–11</w:t>
            </w:r>
          </w:p>
        </w:tc>
        <w:tc>
          <w:tcPr>
            <w:tcW w:w="76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0.12</w:t>
            </w:r>
          </w:p>
        </w:tc>
        <w:tc>
          <w:tcPr>
            <w:tcW w:w="184" w:type="dxa"/>
            <w:tcBorders>
              <w:bottom w:val="single" w:sz="8" w:space="0" w:color="auto"/>
            </w:tcBorders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48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und.</w:t>
            </w:r>
          </w:p>
        </w:tc>
        <w:tc>
          <w:tcPr>
            <w:tcW w:w="926" w:type="dxa"/>
            <w:tcBorders>
              <w:bottom w:val="single" w:sz="8" w:space="0" w:color="auto"/>
            </w:tcBorders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</w:rPr>
            </w:pPr>
            <w:r>
              <w:rPr>
                <w:rFonts w:cs="Times New Roman"/>
                <w:color w:val="000000"/>
                <w:sz w:val="18"/>
              </w:rPr>
              <w:t>und.</w:t>
            </w:r>
          </w:p>
        </w:tc>
        <w:tc>
          <w:tcPr>
            <w:tcW w:w="69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0.11</w:t>
            </w:r>
          </w:p>
        </w:tc>
      </w:tr>
      <w:tr>
        <w:trPr>
          <w:trHeight w:val="20"/>
        </w:trPr>
        <w:tc>
          <w:tcPr>
            <w:tcW w:w="4830" w:type="dxa"/>
            <w:gridSpan w:val="2"/>
            <w:tcBorders>
              <w:top w:val="single" w:sz="8" w:space="0" w:color="auto"/>
            </w:tcBorders>
          </w:tcPr>
          <w:p>
            <w:pPr>
              <w:pStyle w:val="KeinLeerraum"/>
              <w:rPr>
                <w:rFonts w:cs="Times New Roman"/>
                <w:b/>
                <w:color w:val="000000"/>
                <w:sz w:val="18"/>
              </w:rPr>
            </w:pPr>
            <w:r>
              <w:rPr>
                <w:rFonts w:cs="Times New Roman"/>
                <w:b/>
                <w:color w:val="000000"/>
                <w:sz w:val="18"/>
              </w:rPr>
              <w:t>preventive behavior/knowledge about LD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178" w:type="dxa"/>
            <w:tcBorders>
              <w:top w:val="single" w:sz="8" w:space="0" w:color="auto"/>
            </w:tcBorders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86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76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184" w:type="dxa"/>
            <w:tcBorders>
              <w:top w:val="single" w:sz="8" w:space="0" w:color="auto"/>
            </w:tcBorders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92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69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preventive behavior to avoid LD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118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</w:t>
            </w:r>
          </w:p>
        </w:tc>
        <w:tc>
          <w:tcPr>
            <w:tcW w:w="178" w:type="dxa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48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0.1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0.0–0.4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&lt; 0.001</w:t>
            </w:r>
          </w:p>
        </w:tc>
        <w:tc>
          <w:tcPr>
            <w:tcW w:w="184" w:type="dxa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59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0.2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0.0–0.8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b/>
                <w:color w:val="C45911"/>
                <w:sz w:val="18"/>
              </w:rPr>
            </w:pPr>
            <w:r>
              <w:rPr>
                <w:rFonts w:cs="Times New Roman"/>
                <w:b/>
                <w:sz w:val="18"/>
              </w:rPr>
              <w:t>0.01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knows the transmission mode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116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38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33</w:t>
            </w:r>
          </w:p>
        </w:tc>
        <w:tc>
          <w:tcPr>
            <w:tcW w:w="178" w:type="dxa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143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67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0.2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0.2–0.4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&lt; 0.001</w:t>
            </w:r>
          </w:p>
        </w:tc>
        <w:tc>
          <w:tcPr>
            <w:tcW w:w="184" w:type="dxa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59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0.7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0.4–1.4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0.30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has already heard of LD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118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65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55</w:t>
            </w:r>
          </w:p>
        </w:tc>
        <w:tc>
          <w:tcPr>
            <w:tcW w:w="178" w:type="dxa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186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87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0.2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0.1–0.3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&lt; 0.001</w:t>
            </w:r>
          </w:p>
        </w:tc>
        <w:tc>
          <w:tcPr>
            <w:tcW w:w="184" w:type="dxa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59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68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0.6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0.3–1.2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0.11</w:t>
            </w:r>
          </w:p>
        </w:tc>
      </w:tr>
      <w:tr>
        <w:trPr>
          <w:trHeight w:val="20"/>
        </w:trPr>
        <w:tc>
          <w:tcPr>
            <w:tcW w:w="152" w:type="dxa"/>
            <w:tcBorders>
              <w:bottom w:val="single" w:sz="8" w:space="0" w:color="auto"/>
            </w:tcBorders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</w:p>
        </w:tc>
        <w:tc>
          <w:tcPr>
            <w:tcW w:w="46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letting water run before use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105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59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56</w:t>
            </w:r>
          </w:p>
        </w:tc>
        <w:tc>
          <w:tcPr>
            <w:tcW w:w="178" w:type="dxa"/>
            <w:tcBorders>
              <w:bottom w:val="single" w:sz="8" w:space="0" w:color="auto"/>
            </w:tcBorders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207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140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68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0.6</w:t>
            </w:r>
          </w:p>
        </w:tc>
        <w:tc>
          <w:tcPr>
            <w:tcW w:w="86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0.4–1.0</w:t>
            </w:r>
          </w:p>
        </w:tc>
        <w:tc>
          <w:tcPr>
            <w:tcW w:w="76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0.05</w:t>
            </w:r>
          </w:p>
        </w:tc>
        <w:tc>
          <w:tcPr>
            <w:tcW w:w="184" w:type="dxa"/>
            <w:tcBorders>
              <w:bottom w:val="single" w:sz="8" w:space="0" w:color="auto"/>
            </w:tcBorders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</w:p>
        </w:tc>
        <w:tc>
          <w:tcPr>
            <w:tcW w:w="9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</w:p>
        </w:tc>
        <w:tc>
          <w:tcPr>
            <w:tcW w:w="69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</w:p>
        </w:tc>
      </w:tr>
      <w:tr>
        <w:trPr>
          <w:trHeight w:val="20"/>
        </w:trPr>
        <w:tc>
          <w:tcPr>
            <w:tcW w:w="4830" w:type="dxa"/>
            <w:gridSpan w:val="2"/>
            <w:tcBorders>
              <w:top w:val="single" w:sz="8" w:space="0" w:color="auto"/>
            </w:tcBorders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smoking/alcohol consumption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</w:p>
        </w:tc>
        <w:tc>
          <w:tcPr>
            <w:tcW w:w="178" w:type="dxa"/>
            <w:tcBorders>
              <w:top w:val="single" w:sz="8" w:space="0" w:color="auto"/>
            </w:tcBorders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</w:p>
        </w:tc>
        <w:tc>
          <w:tcPr>
            <w:tcW w:w="867" w:type="dxa"/>
            <w:tcBorders>
              <w:top w:val="single" w:sz="8" w:space="0" w:color="auto"/>
            </w:tcBorders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</w:p>
        </w:tc>
        <w:tc>
          <w:tcPr>
            <w:tcW w:w="763" w:type="dxa"/>
            <w:tcBorders>
              <w:top w:val="single" w:sz="8" w:space="0" w:color="auto"/>
            </w:tcBorders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</w:p>
        </w:tc>
        <w:tc>
          <w:tcPr>
            <w:tcW w:w="184" w:type="dxa"/>
            <w:tcBorders>
              <w:top w:val="single" w:sz="8" w:space="0" w:color="auto"/>
            </w:tcBorders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</w:p>
        </w:tc>
        <w:tc>
          <w:tcPr>
            <w:tcW w:w="926" w:type="dxa"/>
            <w:tcBorders>
              <w:top w:val="single" w:sz="8" w:space="0" w:color="auto"/>
            </w:tcBorders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</w:p>
        </w:tc>
        <w:tc>
          <w:tcPr>
            <w:tcW w:w="698" w:type="dxa"/>
            <w:tcBorders>
              <w:top w:val="single" w:sz="8" w:space="0" w:color="auto"/>
            </w:tcBorders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</w:p>
        </w:tc>
        <w:tc>
          <w:tcPr>
            <w:tcW w:w="4678" w:type="dxa"/>
            <w:shd w:val="clear" w:color="auto" w:fill="auto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smoker</w:t>
            </w:r>
          </w:p>
        </w:tc>
        <w:tc>
          <w:tcPr>
            <w:tcW w:w="0" w:type="auto"/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124</w:t>
            </w:r>
          </w:p>
        </w:tc>
        <w:tc>
          <w:tcPr>
            <w:tcW w:w="0" w:type="auto"/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59</w:t>
            </w:r>
          </w:p>
        </w:tc>
        <w:tc>
          <w:tcPr>
            <w:tcW w:w="0" w:type="auto"/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48</w:t>
            </w:r>
          </w:p>
        </w:tc>
        <w:tc>
          <w:tcPr>
            <w:tcW w:w="178" w:type="dxa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</w:p>
        </w:tc>
        <w:tc>
          <w:tcPr>
            <w:tcW w:w="0" w:type="auto"/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215</w:t>
            </w:r>
          </w:p>
        </w:tc>
        <w:tc>
          <w:tcPr>
            <w:tcW w:w="0" w:type="auto"/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47</w:t>
            </w:r>
          </w:p>
        </w:tc>
        <w:tc>
          <w:tcPr>
            <w:tcW w:w="0" w:type="auto"/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22</w:t>
            </w:r>
          </w:p>
        </w:tc>
        <w:tc>
          <w:tcPr>
            <w:tcW w:w="0" w:type="auto"/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3.2</w:t>
            </w:r>
          </w:p>
        </w:tc>
        <w:tc>
          <w:tcPr>
            <w:tcW w:w="867" w:type="dxa"/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2.0–5.4</w:t>
            </w:r>
          </w:p>
        </w:tc>
        <w:tc>
          <w:tcPr>
            <w:tcW w:w="763" w:type="dxa"/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&lt; 0.001</w:t>
            </w:r>
          </w:p>
        </w:tc>
        <w:tc>
          <w:tcPr>
            <w:tcW w:w="184" w:type="dxa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</w:p>
        </w:tc>
        <w:tc>
          <w:tcPr>
            <w:tcW w:w="0" w:type="auto"/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59</w:t>
            </w:r>
          </w:p>
        </w:tc>
        <w:tc>
          <w:tcPr>
            <w:tcW w:w="0" w:type="auto"/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4.0</w:t>
            </w:r>
          </w:p>
        </w:tc>
        <w:tc>
          <w:tcPr>
            <w:tcW w:w="926" w:type="dxa"/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1.8–9.2</w:t>
            </w:r>
          </w:p>
        </w:tc>
        <w:tc>
          <w:tcPr>
            <w:tcW w:w="698" w:type="dxa"/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&lt; 0.001</w:t>
            </w:r>
          </w:p>
        </w:tc>
      </w:tr>
      <w:tr>
        <w:trPr>
          <w:trHeight w:val="20"/>
        </w:trPr>
        <w:tc>
          <w:tcPr>
            <w:tcW w:w="152" w:type="dxa"/>
            <w:tcBorders>
              <w:bottom w:val="single" w:sz="8" w:space="0" w:color="auto"/>
            </w:tcBorders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</w:p>
        </w:tc>
        <w:tc>
          <w:tcPr>
            <w:tcW w:w="4678" w:type="dxa"/>
            <w:tcBorders>
              <w:bottom w:val="single" w:sz="8" w:space="0" w:color="auto"/>
            </w:tcBorders>
            <w:shd w:val="clear" w:color="auto" w:fill="auto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not alcohol abstinent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124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72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58</w:t>
            </w:r>
          </w:p>
        </w:tc>
        <w:tc>
          <w:tcPr>
            <w:tcW w:w="178" w:type="dxa"/>
            <w:tcBorders>
              <w:bottom w:val="single" w:sz="8" w:space="0" w:color="auto"/>
            </w:tcBorders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217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158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73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0.5</w:t>
            </w:r>
          </w:p>
        </w:tc>
        <w:tc>
          <w:tcPr>
            <w:tcW w:w="867" w:type="dxa"/>
            <w:tcBorders>
              <w:bottom w:val="single" w:sz="8" w:space="0" w:color="auto"/>
            </w:tcBorders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0.3–0.9</w:t>
            </w:r>
          </w:p>
        </w:tc>
        <w:tc>
          <w:tcPr>
            <w:tcW w:w="763" w:type="dxa"/>
            <w:tcBorders>
              <w:bottom w:val="single" w:sz="8" w:space="0" w:color="auto"/>
            </w:tcBorders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0.01</w:t>
            </w:r>
          </w:p>
        </w:tc>
        <w:tc>
          <w:tcPr>
            <w:tcW w:w="184" w:type="dxa"/>
            <w:tcBorders>
              <w:bottom w:val="single" w:sz="8" w:space="0" w:color="auto"/>
            </w:tcBorders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59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42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71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0.6</w:t>
            </w:r>
          </w:p>
        </w:tc>
        <w:tc>
          <w:tcPr>
            <w:tcW w:w="926" w:type="dxa"/>
            <w:tcBorders>
              <w:bottom w:val="single" w:sz="8" w:space="0" w:color="auto"/>
            </w:tcBorders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0.3–1.1</w:t>
            </w:r>
          </w:p>
        </w:tc>
        <w:tc>
          <w:tcPr>
            <w:tcW w:w="698" w:type="dxa"/>
            <w:tcBorders>
              <w:bottom w:val="single" w:sz="8" w:space="0" w:color="auto"/>
            </w:tcBorders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0.09</w:t>
            </w:r>
          </w:p>
        </w:tc>
      </w:tr>
      <w:tr>
        <w:trPr>
          <w:trHeight w:val="20"/>
        </w:trPr>
        <w:tc>
          <w:tcPr>
            <w:tcW w:w="4830" w:type="dxa"/>
            <w:gridSpan w:val="2"/>
            <w:tcBorders>
              <w:top w:val="single" w:sz="8" w:space="0" w:color="auto"/>
            </w:tcBorders>
          </w:tcPr>
          <w:p>
            <w:pPr>
              <w:pStyle w:val="KeinLeerraum"/>
              <w:rPr>
                <w:rFonts w:cs="Times New Roman"/>
                <w:b/>
                <w:color w:val="000000"/>
                <w:sz w:val="18"/>
              </w:rPr>
            </w:pPr>
            <w:r>
              <w:rPr>
                <w:rFonts w:cs="Times New Roman"/>
                <w:b/>
                <w:color w:val="000000"/>
                <w:sz w:val="18"/>
              </w:rPr>
              <w:t>oral hygiene 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b/>
                <w:bCs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b/>
                <w:bCs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b/>
                <w:bCs/>
                <w:color w:val="000000"/>
                <w:sz w:val="18"/>
                <w:lang w:eastAsia="de-DE"/>
              </w:rPr>
            </w:pPr>
          </w:p>
        </w:tc>
        <w:tc>
          <w:tcPr>
            <w:tcW w:w="178" w:type="dxa"/>
            <w:tcBorders>
              <w:top w:val="single" w:sz="8" w:space="0" w:color="auto"/>
            </w:tcBorders>
          </w:tcPr>
          <w:p>
            <w:pPr>
              <w:pStyle w:val="KeinLeerraum"/>
              <w:jc w:val="center"/>
              <w:rPr>
                <w:rFonts w:cs="Times New Roman"/>
                <w:b/>
                <w:bCs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b/>
                <w:bCs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b/>
                <w:bCs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b/>
                <w:bCs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b/>
                <w:bCs/>
                <w:color w:val="000000"/>
                <w:sz w:val="18"/>
                <w:lang w:eastAsia="de-DE"/>
              </w:rPr>
            </w:pPr>
          </w:p>
        </w:tc>
        <w:tc>
          <w:tcPr>
            <w:tcW w:w="86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b/>
                <w:bCs/>
                <w:color w:val="000000"/>
                <w:sz w:val="18"/>
                <w:lang w:eastAsia="de-DE"/>
              </w:rPr>
            </w:pPr>
          </w:p>
        </w:tc>
        <w:tc>
          <w:tcPr>
            <w:tcW w:w="76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b/>
                <w:bCs/>
                <w:color w:val="000000"/>
                <w:sz w:val="18"/>
                <w:lang w:eastAsia="de-DE"/>
              </w:rPr>
            </w:pPr>
          </w:p>
        </w:tc>
        <w:tc>
          <w:tcPr>
            <w:tcW w:w="184" w:type="dxa"/>
            <w:tcBorders>
              <w:top w:val="single" w:sz="8" w:space="0" w:color="auto"/>
            </w:tcBorders>
          </w:tcPr>
          <w:p>
            <w:pPr>
              <w:pStyle w:val="KeinLeerraum"/>
              <w:jc w:val="center"/>
              <w:rPr>
                <w:rFonts w:cs="Times New Roman"/>
                <w:b/>
                <w:bCs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b/>
                <w:bCs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b/>
                <w:bCs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b/>
                <w:bCs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b/>
                <w:bCs/>
                <w:color w:val="000000"/>
                <w:sz w:val="18"/>
                <w:lang w:eastAsia="de-DE"/>
              </w:rPr>
            </w:pPr>
          </w:p>
        </w:tc>
        <w:tc>
          <w:tcPr>
            <w:tcW w:w="92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b/>
                <w:bCs/>
                <w:color w:val="000000"/>
                <w:sz w:val="18"/>
                <w:lang w:eastAsia="de-DE"/>
              </w:rPr>
            </w:pPr>
          </w:p>
        </w:tc>
        <w:tc>
          <w:tcPr>
            <w:tcW w:w="69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b/>
                <w:bCs/>
                <w:color w:val="000000"/>
                <w:sz w:val="18"/>
                <w:lang w:eastAsia="de-DE"/>
              </w:rPr>
            </w:pP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other method of interdental cleaning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</w:t>
            </w:r>
          </w:p>
        </w:tc>
        <w:tc>
          <w:tcPr>
            <w:tcW w:w="178" w:type="dxa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128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und.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und.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0.09</w:t>
            </w:r>
          </w:p>
        </w:tc>
        <w:tc>
          <w:tcPr>
            <w:tcW w:w="184" w:type="dxa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0.5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0.0–6.8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0.59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brushing one’s teeth under the shower **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123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</w:t>
            </w:r>
          </w:p>
        </w:tc>
        <w:tc>
          <w:tcPr>
            <w:tcW w:w="178" w:type="dxa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0.0–0.5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0.003</w:t>
            </w:r>
          </w:p>
        </w:tc>
        <w:tc>
          <w:tcPr>
            <w:tcW w:w="184" w:type="dxa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58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und.</w:t>
            </w:r>
          </w:p>
        </w:tc>
        <w:tc>
          <w:tcPr>
            <w:tcW w:w="926" w:type="dxa"/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und.</w:t>
            </w:r>
          </w:p>
        </w:tc>
        <w:tc>
          <w:tcPr>
            <w:tcW w:w="698" w:type="dxa"/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und.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use of oral irrigator *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123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</w:t>
            </w:r>
          </w:p>
        </w:tc>
        <w:tc>
          <w:tcPr>
            <w:tcW w:w="178" w:type="dxa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0.1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0.0–0.3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&lt; 0.001</w:t>
            </w:r>
          </w:p>
        </w:tc>
        <w:tc>
          <w:tcPr>
            <w:tcW w:w="184" w:type="dxa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und.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und.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und.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brushing one's teeth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95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92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97</w:t>
            </w:r>
          </w:p>
        </w:tc>
        <w:tc>
          <w:tcPr>
            <w:tcW w:w="178" w:type="dxa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179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176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98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0.5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0.1–4.0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0.43</w:t>
            </w:r>
          </w:p>
        </w:tc>
        <w:tc>
          <w:tcPr>
            <w:tcW w:w="184" w:type="dxa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37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97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0.9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0.0–11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sz w:val="18"/>
              </w:rPr>
              <w:t>0.89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use of interdental brush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20</w:t>
            </w:r>
          </w:p>
        </w:tc>
        <w:tc>
          <w:tcPr>
            <w:tcW w:w="178" w:type="dxa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128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0.5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0.2–1.2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0.11</w:t>
            </w:r>
          </w:p>
        </w:tc>
        <w:tc>
          <w:tcPr>
            <w:tcW w:w="184" w:type="dxa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0.3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0.1–0.9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0.02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use of dental floss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16</w:t>
            </w:r>
          </w:p>
        </w:tc>
        <w:tc>
          <w:tcPr>
            <w:tcW w:w="178" w:type="dxa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128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0.6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0.2–1.5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0.26</w:t>
            </w:r>
          </w:p>
        </w:tc>
        <w:tc>
          <w:tcPr>
            <w:tcW w:w="184" w:type="dxa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0.3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0.1–0.9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0.01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brushing one's teeth, evening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94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79</w:t>
            </w:r>
          </w:p>
        </w:tc>
        <w:tc>
          <w:tcPr>
            <w:tcW w:w="178" w:type="dxa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178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152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85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0.6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0.3–1.3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0.16</w:t>
            </w:r>
          </w:p>
        </w:tc>
        <w:tc>
          <w:tcPr>
            <w:tcW w:w="184" w:type="dxa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37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86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0.6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0.2–1.8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0.31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b/>
                <w:color w:val="000000"/>
                <w:sz w:val="18"/>
              </w:rPr>
            </w:pPr>
            <w:r>
              <w:rPr>
                <w:rFonts w:cs="Times New Roman"/>
                <w:b/>
                <w:sz w:val="18"/>
              </w:rPr>
              <w:t>electric toothbrush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117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37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32</w:t>
            </w:r>
          </w:p>
        </w:tc>
        <w:tc>
          <w:tcPr>
            <w:tcW w:w="178" w:type="dxa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210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94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0.6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0.3–0.9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b/>
                <w:color w:val="C45911"/>
                <w:sz w:val="18"/>
              </w:rPr>
            </w:pPr>
            <w:r>
              <w:rPr>
                <w:rFonts w:cs="Times New Roman"/>
                <w:b/>
                <w:sz w:val="18"/>
              </w:rPr>
              <w:t>0.02</w:t>
            </w:r>
          </w:p>
        </w:tc>
        <w:tc>
          <w:tcPr>
            <w:tcW w:w="184" w:type="dxa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1.1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0.4–2.6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0.90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brushing one’s teeth, morning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94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88</w:t>
            </w:r>
          </w:p>
        </w:tc>
        <w:tc>
          <w:tcPr>
            <w:tcW w:w="178" w:type="dxa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178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164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92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0.7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0.3–1.9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0.44</w:t>
            </w:r>
          </w:p>
        </w:tc>
        <w:tc>
          <w:tcPr>
            <w:tcW w:w="184" w:type="dxa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37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95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0.5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0.1–2.4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0.35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brushing one's teeth more than 7 times a week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95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74</w:t>
            </w:r>
          </w:p>
        </w:tc>
        <w:tc>
          <w:tcPr>
            <w:tcW w:w="178" w:type="dxa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179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145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0.7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0.4–1.2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0.16</w:t>
            </w:r>
          </w:p>
        </w:tc>
        <w:tc>
          <w:tcPr>
            <w:tcW w:w="184" w:type="dxa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37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31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0.5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0.2–1.5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0.22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any form of interdental cleaning OR oral flushing before going to sleep 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68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47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69</w:t>
            </w:r>
          </w:p>
        </w:tc>
        <w:tc>
          <w:tcPr>
            <w:tcW w:w="178" w:type="dxa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143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104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0.8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0.4–1.7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0.59</w:t>
            </w:r>
          </w:p>
        </w:tc>
        <w:tc>
          <w:tcPr>
            <w:tcW w:w="184" w:type="dxa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0.5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0.1–1.5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0.17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b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b/>
                <w:color w:val="000000"/>
                <w:sz w:val="18"/>
              </w:rPr>
            </w:pPr>
            <w:r>
              <w:rPr>
                <w:rFonts w:cs="Times New Roman"/>
                <w:b/>
                <w:sz w:val="18"/>
              </w:rPr>
              <w:t>any form of interdental cleaning ****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58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50</w:t>
            </w:r>
          </w:p>
        </w:tc>
        <w:tc>
          <w:tcPr>
            <w:tcW w:w="178" w:type="dxa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129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54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0.8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0.4–1.6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0.59</w:t>
            </w:r>
          </w:p>
        </w:tc>
        <w:tc>
          <w:tcPr>
            <w:tcW w:w="184" w:type="dxa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0.2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0.1–0.7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b/>
                <w:color w:val="C45911"/>
                <w:sz w:val="18"/>
              </w:rPr>
            </w:pPr>
            <w:r>
              <w:rPr>
                <w:rFonts w:cs="Times New Roman"/>
                <w:b/>
                <w:sz w:val="18"/>
              </w:rPr>
              <w:t>0.01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professional teeth cleaning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58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33</w:t>
            </w:r>
          </w:p>
        </w:tc>
        <w:tc>
          <w:tcPr>
            <w:tcW w:w="178" w:type="dxa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129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0.9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0.4–1.8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0.78</w:t>
            </w:r>
          </w:p>
        </w:tc>
        <w:tc>
          <w:tcPr>
            <w:tcW w:w="184" w:type="dxa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0.7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0.3–2.1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0.47</w:t>
            </w:r>
          </w:p>
        </w:tc>
      </w:tr>
      <w:tr>
        <w:trPr>
          <w:trHeight w:val="20"/>
        </w:trPr>
        <w:tc>
          <w:tcPr>
            <w:tcW w:w="152" w:type="dxa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oral flushing before going to sleep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95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31</w:t>
            </w:r>
          </w:p>
        </w:tc>
        <w:tc>
          <w:tcPr>
            <w:tcW w:w="178" w:type="dxa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177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58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0.9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0.5–1.6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0.71</w:t>
            </w:r>
          </w:p>
        </w:tc>
        <w:tc>
          <w:tcPr>
            <w:tcW w:w="184" w:type="dxa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  <w:lang w:eastAsia="de-D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37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1.6</w:t>
            </w:r>
          </w:p>
        </w:tc>
        <w:tc>
          <w:tcPr>
            <w:tcW w:w="926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0.6–4.5</w:t>
            </w:r>
          </w:p>
        </w:tc>
        <w:tc>
          <w:tcPr>
            <w:tcW w:w="698" w:type="dxa"/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0.31</w:t>
            </w:r>
          </w:p>
        </w:tc>
      </w:tr>
      <w:tr>
        <w:trPr>
          <w:trHeight w:val="20"/>
        </w:trPr>
        <w:tc>
          <w:tcPr>
            <w:tcW w:w="152" w:type="dxa"/>
            <w:tcBorders>
              <w:bottom w:val="single" w:sz="18" w:space="0" w:color="auto"/>
            </w:tcBorders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</w:p>
        </w:tc>
        <w:tc>
          <w:tcPr>
            <w:tcW w:w="4678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 xml:space="preserve">brushing </w:t>
            </w:r>
            <w:proofErr w:type="gramStart"/>
            <w:r>
              <w:rPr>
                <w:rFonts w:cs="Times New Roman"/>
                <w:color w:val="000000"/>
                <w:sz w:val="18"/>
              </w:rPr>
              <w:t>one‘</w:t>
            </w:r>
            <w:proofErr w:type="gramEnd"/>
            <w:r>
              <w:rPr>
                <w:rFonts w:cs="Times New Roman"/>
                <w:color w:val="000000"/>
                <w:sz w:val="18"/>
              </w:rPr>
              <w:t>s teeth, midday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94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16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17</w:t>
            </w:r>
          </w:p>
        </w:tc>
        <w:tc>
          <w:tcPr>
            <w:tcW w:w="178" w:type="dxa"/>
            <w:tcBorders>
              <w:bottom w:val="single" w:sz="18" w:space="0" w:color="auto"/>
            </w:tcBorders>
          </w:tcPr>
          <w:p>
            <w:pPr>
              <w:pStyle w:val="KeinLeerraum"/>
              <w:jc w:val="center"/>
              <w:rPr>
                <w:rFonts w:cs="Times New Roman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176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27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15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1.1</w:t>
            </w:r>
          </w:p>
        </w:tc>
        <w:tc>
          <w:tcPr>
            <w:tcW w:w="86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0.5–2.3</w:t>
            </w:r>
          </w:p>
        </w:tc>
        <w:tc>
          <w:tcPr>
            <w:tcW w:w="76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0.72</w:t>
            </w:r>
          </w:p>
        </w:tc>
        <w:tc>
          <w:tcPr>
            <w:tcW w:w="184" w:type="dxa"/>
            <w:tcBorders>
              <w:bottom w:val="single" w:sz="18" w:space="0" w:color="auto"/>
            </w:tcBorders>
          </w:tcPr>
          <w:p>
            <w:pPr>
              <w:pStyle w:val="KeinLeerraum"/>
              <w:jc w:val="center"/>
              <w:rPr>
                <w:rFonts w:cs="Times New Roman"/>
                <w:sz w:val="18"/>
                <w:lang w:eastAsia="de-DE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37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4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11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1.7</w:t>
            </w:r>
          </w:p>
        </w:tc>
        <w:tc>
          <w:tcPr>
            <w:tcW w:w="9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0.5–7.5</w:t>
            </w:r>
          </w:p>
        </w:tc>
        <w:tc>
          <w:tcPr>
            <w:tcW w:w="698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>
            <w:pPr>
              <w:pStyle w:val="KeinLeerraum"/>
              <w:jc w:val="center"/>
              <w:rPr>
                <w:rFonts w:cs="Times New Roman"/>
                <w:color w:val="000000"/>
                <w:sz w:val="18"/>
              </w:rPr>
            </w:pPr>
            <w:r>
              <w:rPr>
                <w:rFonts w:cs="Times New Roman"/>
                <w:color w:val="000000"/>
                <w:sz w:val="18"/>
              </w:rPr>
              <w:t>0.37</w:t>
            </w:r>
          </w:p>
        </w:tc>
      </w:tr>
    </w:tbl>
    <w:p>
      <w:p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OR = Odds ratio, CI = confidence interval, p = p-value, und. = undefined; </w:t>
      </w:r>
      <w:r>
        <w:rPr>
          <w:sz w:val="18"/>
          <w:szCs w:val="18"/>
        </w:rPr>
        <w:t>LD = Legionaries</w:t>
      </w:r>
      <w:r>
        <w:rPr>
          <w:sz w:val="18"/>
          <w:szCs w:val="18"/>
        </w:rPr>
        <w:t>'</w:t>
      </w:r>
      <w:r>
        <w:rPr>
          <w:sz w:val="18"/>
          <w:szCs w:val="18"/>
        </w:rPr>
        <w:t xml:space="preserve"> disease</w:t>
      </w:r>
      <w:r>
        <w:rPr>
          <w:sz w:val="18"/>
          <w:szCs w:val="18"/>
        </w:rPr>
        <w:br/>
        <w:t xml:space="preserve">* “use of oral irrigator” is shown in two categories: “oral hygiene” and “sources” </w:t>
      </w:r>
      <w:r>
        <w:rPr>
          <w:sz w:val="18"/>
          <w:szCs w:val="18"/>
        </w:rPr>
        <w:br/>
        <w:t>** “brushing one’s teeth under the shower” is shown in two categories: “oral hygiene” and “habits related to showers”</w:t>
      </w:r>
      <w:r>
        <w:rPr>
          <w:sz w:val="18"/>
          <w:szCs w:val="18"/>
        </w:rPr>
        <w:br/>
        <w:t>*** vacantness of residence = before using the water sources, the residence was unoccupied for more than 24 hours</w:t>
      </w:r>
      <w:r>
        <w:rPr>
          <w:sz w:val="18"/>
          <w:szCs w:val="18"/>
        </w:rPr>
        <w:br/>
        <w:t xml:space="preserve">**** </w:t>
      </w:r>
      <w:bookmarkStart w:id="0" w:name="_GoBack"/>
      <w:r>
        <w:rPr>
          <w:sz w:val="18"/>
          <w:szCs w:val="18"/>
        </w:rPr>
        <w:t>“</w:t>
      </w:r>
      <w:bookmarkEnd w:id="0"/>
      <w:r>
        <w:rPr>
          <w:sz w:val="18"/>
          <w:szCs w:val="18"/>
        </w:rPr>
        <w:t>any form of interdental cleaning” is an overarching variable, sub-questions included “use of interdental brush”, “use of dental floss”, “professional teeth cleaning” and “other method of interdental cleaning”</w:t>
      </w:r>
    </w:p>
    <w:p/>
    <w:p>
      <w:pPr>
        <w:spacing w:before="240"/>
      </w:pPr>
    </w:p>
    <w:sectPr>
      <w:headerReference w:type="even" r:id="rId14"/>
      <w:footerReference w:type="even" r:id="rId15"/>
      <w:footerReference w:type="default" r:id="rId16"/>
      <w:headerReference w:type="first" r:id="rId17"/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pPr>
        <w:spacing w:after="0"/>
      </w:pPr>
      <w:r>
        <w:separator/>
      </w:r>
    </w:p>
  </w:endnote>
  <w:endnote w:type="continuationSeparator" w:id="0">
    <w:p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pPr>
        <w:spacing w:after="0"/>
      </w:pPr>
      <w:r>
        <w:separator/>
      </w:r>
    </w:p>
  </w:footnote>
  <w:footnote w:type="continuationSeparator" w:id="0">
    <w:p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r>
      <w:rPr>
        <w:b/>
        <w:noProof/>
        <w:color w:val="A6A6A6" w:themeColor="background1" w:themeShade="A6"/>
        <w:lang w:val="en-GB" w:eastAsia="en-GB"/>
      </w:rPr>
      <w:drawing>
        <wp:inline distT="0" distB="0" distL="0" distR="0">
          <wp:extent cx="1382534" cy="497091"/>
          <wp:effectExtent l="0" t="0" r="0" b="0"/>
          <wp:docPr id="5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2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pPr>
      <w:spacing w:after="120"/>
    </w:pPr>
    <w:rPr>
      <w:i/>
    </w:rPr>
  </w:style>
  <w:style w:type="paragraph" w:styleId="berarbeitung">
    <w:name w:val="Revision"/>
    <w:hidden/>
    <w:uiPriority w:val="99"/>
    <w:semiHidden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gkelc">
    <w:name w:val="hgkelc"/>
    <w:basedOn w:val="Absatz-Standardschriftart"/>
  </w:style>
  <w:style w:type="character" w:styleId="NichtaufgelsteErwhnung">
    <w:name w:val="Unresolved Mention"/>
    <w:basedOn w:val="Absatz-Standardschriftart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ti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LehfeldA@rki.d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purl.org/dc/terms/"/>
    <ds:schemaRef ds:uri="http://purl.org/dc/elements/1.1/"/>
    <ds:schemaRef ds:uri="http://purl.org/dc/dcmitype/"/>
    <ds:schemaRef ds:uri="970c08f3-bdc0-46be-888b-e62464d9f78c"/>
    <ds:schemaRef ds:uri="26005759-6815-4540-b8ea-913958d74f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F035E196-8945-4E6A-BA26-B98F52CB6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4</Pages>
  <Words>1197</Words>
  <Characters>7548</Characters>
  <Application>Microsoft Office Word</Application>
  <DocSecurity>0</DocSecurity>
  <Lines>62</Lines>
  <Paragraphs>17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Lehfeld, Ann-Sophie</cp:lastModifiedBy>
  <cp:revision>2</cp:revision>
  <cp:lastPrinted>2013-10-03T12:51:00Z</cp:lastPrinted>
  <dcterms:created xsi:type="dcterms:W3CDTF">2023-04-28T16:08:00Z</dcterms:created>
  <dcterms:modified xsi:type="dcterms:W3CDTF">2023-04-28T16:08:00Z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