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E47FD" w14:textId="2F6CA305" w:rsidR="00970B13" w:rsidRPr="006B179E" w:rsidRDefault="006B179E" w:rsidP="006B179E">
      <w:pPr>
        <w:spacing w:after="240"/>
        <w:rPr>
          <w:rFonts w:ascii="Arial" w:hAnsi="Arial" w:cs="Arial"/>
          <w:b/>
          <w:sz w:val="28"/>
        </w:rPr>
      </w:pPr>
      <w:bookmarkStart w:id="0" w:name="_Toc68079055"/>
      <w:bookmarkStart w:id="1" w:name="_Toc68100092"/>
      <w:r w:rsidRPr="006B179E">
        <w:rPr>
          <w:rFonts w:ascii="Arial" w:hAnsi="Arial" w:cs="Arial"/>
          <w:b/>
          <w:sz w:val="28"/>
        </w:rPr>
        <w:t>Protocol for the s</w:t>
      </w:r>
      <w:r w:rsidR="00305460" w:rsidRPr="006B179E">
        <w:rPr>
          <w:rFonts w:ascii="Arial" w:hAnsi="Arial" w:cs="Arial"/>
          <w:b/>
          <w:sz w:val="28"/>
        </w:rPr>
        <w:t xml:space="preserve">ystematic review of the scientific evidence on </w:t>
      </w:r>
      <w:r w:rsidR="005B56C5" w:rsidRPr="006B179E">
        <w:rPr>
          <w:rFonts w:ascii="Arial" w:hAnsi="Arial" w:cs="Arial"/>
          <w:b/>
          <w:sz w:val="28"/>
        </w:rPr>
        <w:t>the carcinogenicity</w:t>
      </w:r>
      <w:r w:rsidR="00305460" w:rsidRPr="006B179E">
        <w:rPr>
          <w:rFonts w:ascii="Arial" w:hAnsi="Arial" w:cs="Arial"/>
          <w:b/>
          <w:sz w:val="28"/>
        </w:rPr>
        <w:t xml:space="preserve"> of talc</w:t>
      </w:r>
      <w:bookmarkEnd w:id="0"/>
      <w:bookmarkEnd w:id="1"/>
      <w:r w:rsidRPr="006B179E">
        <w:rPr>
          <w:rFonts w:ascii="Arial" w:hAnsi="Arial" w:cs="Arial"/>
          <w:b/>
          <w:sz w:val="28"/>
        </w:rPr>
        <w:t xml:space="preserve"> </w:t>
      </w:r>
    </w:p>
    <w:sdt>
      <w:sdtPr>
        <w:rPr>
          <w:rFonts w:asciiTheme="minorHAnsi" w:eastAsiaTheme="minorHAnsi" w:hAnsiTheme="minorHAnsi" w:cstheme="minorBidi"/>
          <w:color w:val="auto"/>
          <w:sz w:val="22"/>
          <w:szCs w:val="22"/>
        </w:rPr>
        <w:id w:val="842441975"/>
        <w:docPartObj>
          <w:docPartGallery w:val="Table of Contents"/>
          <w:docPartUnique/>
        </w:docPartObj>
      </w:sdtPr>
      <w:sdtEndPr>
        <w:rPr>
          <w:b/>
          <w:bCs/>
          <w:noProof/>
        </w:rPr>
      </w:sdtEndPr>
      <w:sdtContent>
        <w:p w14:paraId="39C86230" w14:textId="77777777" w:rsidR="00970B13" w:rsidRDefault="00970B13">
          <w:pPr>
            <w:pStyle w:val="TOCHeading"/>
          </w:pPr>
          <w:r>
            <w:t>Table of Contents</w:t>
          </w:r>
        </w:p>
        <w:p w14:paraId="7175A45D" w14:textId="79EF3149" w:rsidR="00013369" w:rsidRDefault="00970B13">
          <w:pPr>
            <w:pStyle w:val="TOC2"/>
            <w:tabs>
              <w:tab w:val="left" w:pos="660"/>
              <w:tab w:val="right" w:leader="dot" w:pos="9350"/>
            </w:tabs>
            <w:rPr>
              <w:rFonts w:eastAsiaTheme="minorEastAsia"/>
              <w:noProof/>
            </w:rPr>
          </w:pPr>
          <w:r>
            <w:fldChar w:fldCharType="begin"/>
          </w:r>
          <w:r>
            <w:instrText xml:space="preserve"> TOC \o "1-3" \h \z \u </w:instrText>
          </w:r>
          <w:r>
            <w:fldChar w:fldCharType="separate"/>
          </w:r>
          <w:hyperlink w:anchor="_Toc69210651" w:history="1">
            <w:r w:rsidR="00013369" w:rsidRPr="00DE35D9">
              <w:rPr>
                <w:rStyle w:val="Hyperlink"/>
                <w:rFonts w:ascii="Arial" w:eastAsia="MS Gothic" w:hAnsi="Arial" w:cs="Times New Roman"/>
                <w:b/>
                <w:bCs/>
                <w:noProof/>
              </w:rPr>
              <w:t>1.</w:t>
            </w:r>
            <w:r w:rsidR="00013369">
              <w:rPr>
                <w:rFonts w:eastAsiaTheme="minorEastAsia"/>
                <w:noProof/>
              </w:rPr>
              <w:tab/>
            </w:r>
            <w:r w:rsidR="00013369" w:rsidRPr="00DE35D9">
              <w:rPr>
                <w:rStyle w:val="Hyperlink"/>
                <w:rFonts w:ascii="Arial" w:eastAsia="MS Gothic" w:hAnsi="Arial" w:cs="Times New Roman"/>
                <w:b/>
                <w:bCs/>
                <w:noProof/>
              </w:rPr>
              <w:t>Introduction</w:t>
            </w:r>
            <w:r w:rsidR="00013369">
              <w:rPr>
                <w:noProof/>
                <w:webHidden/>
              </w:rPr>
              <w:tab/>
            </w:r>
            <w:r w:rsidR="00013369">
              <w:rPr>
                <w:noProof/>
                <w:webHidden/>
              </w:rPr>
              <w:fldChar w:fldCharType="begin"/>
            </w:r>
            <w:r w:rsidR="00013369">
              <w:rPr>
                <w:noProof/>
                <w:webHidden/>
              </w:rPr>
              <w:instrText xml:space="preserve"> PAGEREF _Toc69210651 \h </w:instrText>
            </w:r>
            <w:r w:rsidR="00013369">
              <w:rPr>
                <w:noProof/>
                <w:webHidden/>
              </w:rPr>
            </w:r>
            <w:r w:rsidR="00013369">
              <w:rPr>
                <w:noProof/>
                <w:webHidden/>
              </w:rPr>
              <w:fldChar w:fldCharType="separate"/>
            </w:r>
            <w:r w:rsidR="00376747">
              <w:rPr>
                <w:noProof/>
                <w:webHidden/>
              </w:rPr>
              <w:t>2</w:t>
            </w:r>
            <w:r w:rsidR="00013369">
              <w:rPr>
                <w:noProof/>
                <w:webHidden/>
              </w:rPr>
              <w:fldChar w:fldCharType="end"/>
            </w:r>
          </w:hyperlink>
        </w:p>
        <w:p w14:paraId="492F6EC8" w14:textId="4A1460C6" w:rsidR="00013369" w:rsidRDefault="00856479">
          <w:pPr>
            <w:pStyle w:val="TOC2"/>
            <w:tabs>
              <w:tab w:val="left" w:pos="880"/>
              <w:tab w:val="right" w:leader="dot" w:pos="9350"/>
            </w:tabs>
            <w:rPr>
              <w:rFonts w:eastAsiaTheme="minorEastAsia"/>
              <w:noProof/>
            </w:rPr>
          </w:pPr>
          <w:hyperlink w:anchor="_Toc69210652" w:history="1">
            <w:r w:rsidR="00013369" w:rsidRPr="00DE35D9">
              <w:rPr>
                <w:rStyle w:val="Hyperlink"/>
                <w:rFonts w:ascii="Arial" w:eastAsia="MS Gothic" w:hAnsi="Arial" w:cs="Times New Roman"/>
                <w:b/>
                <w:bCs/>
                <w:noProof/>
              </w:rPr>
              <w:t>1.1.</w:t>
            </w:r>
            <w:r w:rsidR="00013369">
              <w:rPr>
                <w:rFonts w:eastAsiaTheme="minorEastAsia"/>
                <w:noProof/>
              </w:rPr>
              <w:tab/>
            </w:r>
            <w:r w:rsidR="00013369" w:rsidRPr="00DE35D9">
              <w:rPr>
                <w:rStyle w:val="Hyperlink"/>
                <w:rFonts w:ascii="Arial" w:eastAsia="MS Gothic" w:hAnsi="Arial" w:cs="Times New Roman"/>
                <w:b/>
                <w:bCs/>
                <w:noProof/>
              </w:rPr>
              <w:t>Rationale</w:t>
            </w:r>
            <w:r w:rsidR="00013369">
              <w:rPr>
                <w:noProof/>
                <w:webHidden/>
              </w:rPr>
              <w:tab/>
            </w:r>
            <w:r w:rsidR="00013369">
              <w:rPr>
                <w:noProof/>
                <w:webHidden/>
              </w:rPr>
              <w:fldChar w:fldCharType="begin"/>
            </w:r>
            <w:r w:rsidR="00013369">
              <w:rPr>
                <w:noProof/>
                <w:webHidden/>
              </w:rPr>
              <w:instrText xml:space="preserve"> PAGEREF _Toc69210652 \h </w:instrText>
            </w:r>
            <w:r w:rsidR="00013369">
              <w:rPr>
                <w:noProof/>
                <w:webHidden/>
              </w:rPr>
            </w:r>
            <w:r w:rsidR="00013369">
              <w:rPr>
                <w:noProof/>
                <w:webHidden/>
              </w:rPr>
              <w:fldChar w:fldCharType="separate"/>
            </w:r>
            <w:r w:rsidR="00376747">
              <w:rPr>
                <w:noProof/>
                <w:webHidden/>
              </w:rPr>
              <w:t>2</w:t>
            </w:r>
            <w:r w:rsidR="00013369">
              <w:rPr>
                <w:noProof/>
                <w:webHidden/>
              </w:rPr>
              <w:fldChar w:fldCharType="end"/>
            </w:r>
          </w:hyperlink>
        </w:p>
        <w:p w14:paraId="3BB9D72F" w14:textId="1DF2A46C" w:rsidR="00013369" w:rsidRDefault="00856479">
          <w:pPr>
            <w:pStyle w:val="TOC2"/>
            <w:tabs>
              <w:tab w:val="left" w:pos="880"/>
              <w:tab w:val="right" w:leader="dot" w:pos="9350"/>
            </w:tabs>
            <w:rPr>
              <w:rFonts w:eastAsiaTheme="minorEastAsia"/>
              <w:noProof/>
            </w:rPr>
          </w:pPr>
          <w:hyperlink w:anchor="_Toc69210653" w:history="1">
            <w:r w:rsidR="00013369" w:rsidRPr="00DE35D9">
              <w:rPr>
                <w:rStyle w:val="Hyperlink"/>
                <w:rFonts w:ascii="Arial" w:eastAsia="MS Gothic" w:hAnsi="Arial" w:cs="Times New Roman"/>
                <w:b/>
                <w:bCs/>
                <w:noProof/>
              </w:rPr>
              <w:t>1.2.</w:t>
            </w:r>
            <w:r w:rsidR="00013369">
              <w:rPr>
                <w:rFonts w:eastAsiaTheme="minorEastAsia"/>
                <w:noProof/>
              </w:rPr>
              <w:tab/>
            </w:r>
            <w:r w:rsidR="00013369" w:rsidRPr="00DE35D9">
              <w:rPr>
                <w:rStyle w:val="Hyperlink"/>
                <w:rFonts w:ascii="Arial" w:eastAsia="MS Gothic" w:hAnsi="Arial" w:cs="Times New Roman"/>
                <w:b/>
                <w:bCs/>
                <w:noProof/>
              </w:rPr>
              <w:t>Objective</w:t>
            </w:r>
            <w:r w:rsidR="00013369">
              <w:rPr>
                <w:noProof/>
                <w:webHidden/>
              </w:rPr>
              <w:tab/>
            </w:r>
            <w:r w:rsidR="00013369">
              <w:rPr>
                <w:noProof/>
                <w:webHidden/>
              </w:rPr>
              <w:fldChar w:fldCharType="begin"/>
            </w:r>
            <w:r w:rsidR="00013369">
              <w:rPr>
                <w:noProof/>
                <w:webHidden/>
              </w:rPr>
              <w:instrText xml:space="preserve"> PAGEREF _Toc69210653 \h </w:instrText>
            </w:r>
            <w:r w:rsidR="00013369">
              <w:rPr>
                <w:noProof/>
                <w:webHidden/>
              </w:rPr>
            </w:r>
            <w:r w:rsidR="00013369">
              <w:rPr>
                <w:noProof/>
                <w:webHidden/>
              </w:rPr>
              <w:fldChar w:fldCharType="separate"/>
            </w:r>
            <w:r w:rsidR="00376747">
              <w:rPr>
                <w:noProof/>
                <w:webHidden/>
              </w:rPr>
              <w:t>2</w:t>
            </w:r>
            <w:r w:rsidR="00013369">
              <w:rPr>
                <w:noProof/>
                <w:webHidden/>
              </w:rPr>
              <w:fldChar w:fldCharType="end"/>
            </w:r>
          </w:hyperlink>
        </w:p>
        <w:p w14:paraId="6380E875" w14:textId="62864D1B" w:rsidR="00013369" w:rsidRDefault="00856479">
          <w:pPr>
            <w:pStyle w:val="TOC2"/>
            <w:tabs>
              <w:tab w:val="left" w:pos="660"/>
              <w:tab w:val="right" w:leader="dot" w:pos="9350"/>
            </w:tabs>
            <w:rPr>
              <w:rFonts w:eastAsiaTheme="minorEastAsia"/>
              <w:noProof/>
            </w:rPr>
          </w:pPr>
          <w:hyperlink w:anchor="_Toc69210654" w:history="1">
            <w:r w:rsidR="00013369" w:rsidRPr="00DE35D9">
              <w:rPr>
                <w:rStyle w:val="Hyperlink"/>
                <w:rFonts w:ascii="Arial" w:eastAsia="MS Gothic" w:hAnsi="Arial" w:cs="Times New Roman"/>
                <w:b/>
                <w:bCs/>
                <w:noProof/>
              </w:rPr>
              <w:t>2.</w:t>
            </w:r>
            <w:r w:rsidR="00013369">
              <w:rPr>
                <w:rFonts w:eastAsiaTheme="minorEastAsia"/>
                <w:noProof/>
              </w:rPr>
              <w:tab/>
            </w:r>
            <w:r w:rsidR="00013369" w:rsidRPr="00DE35D9">
              <w:rPr>
                <w:rStyle w:val="Hyperlink"/>
                <w:rFonts w:ascii="Arial" w:eastAsia="MS Gothic" w:hAnsi="Arial" w:cs="Times New Roman"/>
                <w:b/>
                <w:bCs/>
                <w:noProof/>
              </w:rPr>
              <w:t>Methods</w:t>
            </w:r>
            <w:r w:rsidR="00013369">
              <w:rPr>
                <w:noProof/>
                <w:webHidden/>
              </w:rPr>
              <w:tab/>
            </w:r>
            <w:r w:rsidR="00013369">
              <w:rPr>
                <w:noProof/>
                <w:webHidden/>
              </w:rPr>
              <w:fldChar w:fldCharType="begin"/>
            </w:r>
            <w:r w:rsidR="00013369">
              <w:rPr>
                <w:noProof/>
                <w:webHidden/>
              </w:rPr>
              <w:instrText xml:space="preserve"> PAGEREF _Toc69210654 \h </w:instrText>
            </w:r>
            <w:r w:rsidR="00013369">
              <w:rPr>
                <w:noProof/>
                <w:webHidden/>
              </w:rPr>
            </w:r>
            <w:r w:rsidR="00013369">
              <w:rPr>
                <w:noProof/>
                <w:webHidden/>
              </w:rPr>
              <w:fldChar w:fldCharType="separate"/>
            </w:r>
            <w:r w:rsidR="00376747">
              <w:rPr>
                <w:noProof/>
                <w:webHidden/>
              </w:rPr>
              <w:t>2</w:t>
            </w:r>
            <w:r w:rsidR="00013369">
              <w:rPr>
                <w:noProof/>
                <w:webHidden/>
              </w:rPr>
              <w:fldChar w:fldCharType="end"/>
            </w:r>
          </w:hyperlink>
        </w:p>
        <w:p w14:paraId="6362CE28" w14:textId="1CD23217" w:rsidR="00013369" w:rsidRDefault="00856479">
          <w:pPr>
            <w:pStyle w:val="TOC2"/>
            <w:tabs>
              <w:tab w:val="left" w:pos="880"/>
              <w:tab w:val="right" w:leader="dot" w:pos="9350"/>
            </w:tabs>
            <w:rPr>
              <w:rFonts w:eastAsiaTheme="minorEastAsia"/>
              <w:noProof/>
            </w:rPr>
          </w:pPr>
          <w:hyperlink w:anchor="_Toc69210655" w:history="1">
            <w:r w:rsidR="00013369" w:rsidRPr="00DE35D9">
              <w:rPr>
                <w:rStyle w:val="Hyperlink"/>
                <w:rFonts w:ascii="Arial" w:eastAsia="MS Gothic" w:hAnsi="Arial" w:cs="Times New Roman"/>
                <w:b/>
                <w:bCs/>
                <w:noProof/>
              </w:rPr>
              <w:t>2.1.</w:t>
            </w:r>
            <w:r w:rsidR="00013369">
              <w:rPr>
                <w:rFonts w:eastAsiaTheme="minorEastAsia"/>
                <w:noProof/>
              </w:rPr>
              <w:tab/>
            </w:r>
            <w:r w:rsidR="00013369" w:rsidRPr="00DE35D9">
              <w:rPr>
                <w:rStyle w:val="Hyperlink"/>
                <w:rFonts w:ascii="Arial" w:eastAsia="MS Gothic" w:hAnsi="Arial" w:cs="Times New Roman"/>
                <w:b/>
                <w:bCs/>
                <w:noProof/>
              </w:rPr>
              <w:t>Eligibility Criteria</w:t>
            </w:r>
            <w:r w:rsidR="00013369">
              <w:rPr>
                <w:noProof/>
                <w:webHidden/>
              </w:rPr>
              <w:tab/>
            </w:r>
            <w:r w:rsidR="00013369">
              <w:rPr>
                <w:noProof/>
                <w:webHidden/>
              </w:rPr>
              <w:fldChar w:fldCharType="begin"/>
            </w:r>
            <w:r w:rsidR="00013369">
              <w:rPr>
                <w:noProof/>
                <w:webHidden/>
              </w:rPr>
              <w:instrText xml:space="preserve"> PAGEREF _Toc69210655 \h </w:instrText>
            </w:r>
            <w:r w:rsidR="00013369">
              <w:rPr>
                <w:noProof/>
                <w:webHidden/>
              </w:rPr>
            </w:r>
            <w:r w:rsidR="00013369">
              <w:rPr>
                <w:noProof/>
                <w:webHidden/>
              </w:rPr>
              <w:fldChar w:fldCharType="separate"/>
            </w:r>
            <w:r w:rsidR="00376747">
              <w:rPr>
                <w:noProof/>
                <w:webHidden/>
              </w:rPr>
              <w:t>3</w:t>
            </w:r>
            <w:r w:rsidR="00013369">
              <w:rPr>
                <w:noProof/>
                <w:webHidden/>
              </w:rPr>
              <w:fldChar w:fldCharType="end"/>
            </w:r>
          </w:hyperlink>
        </w:p>
        <w:p w14:paraId="608BC5D2" w14:textId="3452A15C" w:rsidR="00013369" w:rsidRDefault="00856479">
          <w:pPr>
            <w:pStyle w:val="TOC2"/>
            <w:tabs>
              <w:tab w:val="left" w:pos="880"/>
              <w:tab w:val="right" w:leader="dot" w:pos="9350"/>
            </w:tabs>
            <w:rPr>
              <w:rFonts w:eastAsiaTheme="minorEastAsia"/>
              <w:noProof/>
            </w:rPr>
          </w:pPr>
          <w:hyperlink w:anchor="_Toc69210656" w:history="1">
            <w:r w:rsidR="00013369" w:rsidRPr="00DE35D9">
              <w:rPr>
                <w:rStyle w:val="Hyperlink"/>
                <w:rFonts w:ascii="Arial" w:eastAsia="MS Gothic" w:hAnsi="Arial" w:cs="Times New Roman"/>
                <w:b/>
                <w:bCs/>
                <w:noProof/>
              </w:rPr>
              <w:t>2.2.</w:t>
            </w:r>
            <w:r w:rsidR="00013369">
              <w:rPr>
                <w:rFonts w:eastAsiaTheme="minorEastAsia"/>
                <w:noProof/>
              </w:rPr>
              <w:tab/>
            </w:r>
            <w:r w:rsidR="00013369" w:rsidRPr="00DE35D9">
              <w:rPr>
                <w:rStyle w:val="Hyperlink"/>
                <w:rFonts w:ascii="Arial" w:eastAsia="MS Gothic" w:hAnsi="Arial" w:cs="Times New Roman"/>
                <w:b/>
                <w:bCs/>
                <w:noProof/>
              </w:rPr>
              <w:t>Information Sources and Search Strategy</w:t>
            </w:r>
            <w:r w:rsidR="00013369">
              <w:rPr>
                <w:noProof/>
                <w:webHidden/>
              </w:rPr>
              <w:tab/>
            </w:r>
            <w:r w:rsidR="00013369">
              <w:rPr>
                <w:noProof/>
                <w:webHidden/>
              </w:rPr>
              <w:fldChar w:fldCharType="begin"/>
            </w:r>
            <w:r w:rsidR="00013369">
              <w:rPr>
                <w:noProof/>
                <w:webHidden/>
              </w:rPr>
              <w:instrText xml:space="preserve"> PAGEREF _Toc69210656 \h </w:instrText>
            </w:r>
            <w:r w:rsidR="00013369">
              <w:rPr>
                <w:noProof/>
                <w:webHidden/>
              </w:rPr>
            </w:r>
            <w:r w:rsidR="00013369">
              <w:rPr>
                <w:noProof/>
                <w:webHidden/>
              </w:rPr>
              <w:fldChar w:fldCharType="separate"/>
            </w:r>
            <w:r w:rsidR="00376747">
              <w:rPr>
                <w:noProof/>
                <w:webHidden/>
              </w:rPr>
              <w:t>4</w:t>
            </w:r>
            <w:r w:rsidR="00013369">
              <w:rPr>
                <w:noProof/>
                <w:webHidden/>
              </w:rPr>
              <w:fldChar w:fldCharType="end"/>
            </w:r>
          </w:hyperlink>
        </w:p>
        <w:p w14:paraId="6D30FBB4" w14:textId="011E2795" w:rsidR="00013369" w:rsidRDefault="00856479">
          <w:pPr>
            <w:pStyle w:val="TOC2"/>
            <w:tabs>
              <w:tab w:val="left" w:pos="880"/>
              <w:tab w:val="right" w:leader="dot" w:pos="9350"/>
            </w:tabs>
            <w:rPr>
              <w:rFonts w:eastAsiaTheme="minorEastAsia"/>
              <w:noProof/>
            </w:rPr>
          </w:pPr>
          <w:hyperlink w:anchor="_Toc69210657" w:history="1">
            <w:r w:rsidR="00013369" w:rsidRPr="00DE35D9">
              <w:rPr>
                <w:rStyle w:val="Hyperlink"/>
                <w:rFonts w:ascii="Arial" w:eastAsia="Calibri" w:hAnsi="Arial" w:cs="Arial"/>
                <w:b/>
                <w:noProof/>
              </w:rPr>
              <w:t>2.3.</w:t>
            </w:r>
            <w:r w:rsidR="00013369">
              <w:rPr>
                <w:rFonts w:eastAsiaTheme="minorEastAsia"/>
                <w:noProof/>
              </w:rPr>
              <w:tab/>
            </w:r>
            <w:r w:rsidR="00013369" w:rsidRPr="00DE35D9">
              <w:rPr>
                <w:rStyle w:val="Hyperlink"/>
                <w:rFonts w:ascii="Arial" w:eastAsia="MS Gothic" w:hAnsi="Arial" w:cs="Times New Roman"/>
                <w:b/>
                <w:bCs/>
                <w:noProof/>
              </w:rPr>
              <w:t>Study Records: Data Abstraction</w:t>
            </w:r>
            <w:r w:rsidR="00013369">
              <w:rPr>
                <w:noProof/>
                <w:webHidden/>
              </w:rPr>
              <w:tab/>
            </w:r>
            <w:r w:rsidR="00013369">
              <w:rPr>
                <w:noProof/>
                <w:webHidden/>
              </w:rPr>
              <w:fldChar w:fldCharType="begin"/>
            </w:r>
            <w:r w:rsidR="00013369">
              <w:rPr>
                <w:noProof/>
                <w:webHidden/>
              </w:rPr>
              <w:instrText xml:space="preserve"> PAGEREF _Toc69210657 \h </w:instrText>
            </w:r>
            <w:r w:rsidR="00013369">
              <w:rPr>
                <w:noProof/>
                <w:webHidden/>
              </w:rPr>
            </w:r>
            <w:r w:rsidR="00013369">
              <w:rPr>
                <w:noProof/>
                <w:webHidden/>
              </w:rPr>
              <w:fldChar w:fldCharType="separate"/>
            </w:r>
            <w:r w:rsidR="00376747">
              <w:rPr>
                <w:noProof/>
                <w:webHidden/>
              </w:rPr>
              <w:t>5</w:t>
            </w:r>
            <w:r w:rsidR="00013369">
              <w:rPr>
                <w:noProof/>
                <w:webHidden/>
              </w:rPr>
              <w:fldChar w:fldCharType="end"/>
            </w:r>
          </w:hyperlink>
        </w:p>
        <w:p w14:paraId="0B35103F" w14:textId="4278E99B" w:rsidR="00013369" w:rsidRDefault="00856479">
          <w:pPr>
            <w:pStyle w:val="TOC2"/>
            <w:tabs>
              <w:tab w:val="left" w:pos="880"/>
              <w:tab w:val="right" w:leader="dot" w:pos="9350"/>
            </w:tabs>
            <w:rPr>
              <w:rFonts w:eastAsiaTheme="minorEastAsia"/>
              <w:noProof/>
            </w:rPr>
          </w:pPr>
          <w:hyperlink w:anchor="_Toc69210658" w:history="1">
            <w:r w:rsidR="00013369" w:rsidRPr="00DE35D9">
              <w:rPr>
                <w:rStyle w:val="Hyperlink"/>
                <w:rFonts w:ascii="Arial" w:eastAsia="MS Gothic" w:hAnsi="Arial" w:cs="Times New Roman"/>
                <w:b/>
                <w:bCs/>
                <w:noProof/>
              </w:rPr>
              <w:t>2.4</w:t>
            </w:r>
            <w:r w:rsidR="00013369">
              <w:rPr>
                <w:rFonts w:eastAsiaTheme="minorEastAsia"/>
                <w:noProof/>
              </w:rPr>
              <w:tab/>
            </w:r>
            <w:r w:rsidR="00013369" w:rsidRPr="00DE35D9">
              <w:rPr>
                <w:rStyle w:val="Hyperlink"/>
                <w:rFonts w:ascii="Arial" w:eastAsia="MS Gothic" w:hAnsi="Arial" w:cs="Times New Roman"/>
                <w:b/>
                <w:bCs/>
                <w:noProof/>
              </w:rPr>
              <w:t>Study Quality Evaluation</w:t>
            </w:r>
            <w:r w:rsidR="00013369">
              <w:rPr>
                <w:noProof/>
                <w:webHidden/>
              </w:rPr>
              <w:tab/>
            </w:r>
            <w:r w:rsidR="00013369">
              <w:rPr>
                <w:noProof/>
                <w:webHidden/>
              </w:rPr>
              <w:fldChar w:fldCharType="begin"/>
            </w:r>
            <w:r w:rsidR="00013369">
              <w:rPr>
                <w:noProof/>
                <w:webHidden/>
              </w:rPr>
              <w:instrText xml:space="preserve"> PAGEREF _Toc69210658 \h </w:instrText>
            </w:r>
            <w:r w:rsidR="00013369">
              <w:rPr>
                <w:noProof/>
                <w:webHidden/>
              </w:rPr>
            </w:r>
            <w:r w:rsidR="00013369">
              <w:rPr>
                <w:noProof/>
                <w:webHidden/>
              </w:rPr>
              <w:fldChar w:fldCharType="separate"/>
            </w:r>
            <w:r w:rsidR="00376747">
              <w:rPr>
                <w:noProof/>
                <w:webHidden/>
              </w:rPr>
              <w:t>5</w:t>
            </w:r>
            <w:r w:rsidR="00013369">
              <w:rPr>
                <w:noProof/>
                <w:webHidden/>
              </w:rPr>
              <w:fldChar w:fldCharType="end"/>
            </w:r>
          </w:hyperlink>
        </w:p>
        <w:p w14:paraId="0DBCEB13" w14:textId="53CE1222" w:rsidR="00013369" w:rsidRDefault="00856479">
          <w:pPr>
            <w:pStyle w:val="TOC2"/>
            <w:tabs>
              <w:tab w:val="left" w:pos="880"/>
              <w:tab w:val="right" w:leader="dot" w:pos="9350"/>
            </w:tabs>
            <w:rPr>
              <w:rFonts w:eastAsiaTheme="minorEastAsia"/>
              <w:noProof/>
            </w:rPr>
          </w:pPr>
          <w:hyperlink w:anchor="_Toc69210659" w:history="1">
            <w:r w:rsidR="00013369" w:rsidRPr="00DE35D9">
              <w:rPr>
                <w:rStyle w:val="Hyperlink"/>
                <w:rFonts w:ascii="Arial" w:eastAsia="MS Gothic" w:hAnsi="Arial" w:cs="Times New Roman"/>
                <w:b/>
                <w:bCs/>
                <w:noProof/>
              </w:rPr>
              <w:t>2.4.</w:t>
            </w:r>
            <w:r w:rsidR="00013369">
              <w:rPr>
                <w:rFonts w:eastAsiaTheme="minorEastAsia"/>
                <w:noProof/>
              </w:rPr>
              <w:tab/>
            </w:r>
            <w:r w:rsidR="00013369" w:rsidRPr="00DE35D9">
              <w:rPr>
                <w:rStyle w:val="Hyperlink"/>
                <w:rFonts w:ascii="Arial" w:eastAsia="MS Gothic" w:hAnsi="Arial" w:cs="Times New Roman"/>
                <w:b/>
                <w:bCs/>
                <w:noProof/>
              </w:rPr>
              <w:t>Evidence Synthesis</w:t>
            </w:r>
            <w:r w:rsidR="00013369">
              <w:rPr>
                <w:noProof/>
                <w:webHidden/>
              </w:rPr>
              <w:tab/>
            </w:r>
            <w:r w:rsidR="00013369">
              <w:rPr>
                <w:noProof/>
                <w:webHidden/>
              </w:rPr>
              <w:fldChar w:fldCharType="begin"/>
            </w:r>
            <w:r w:rsidR="00013369">
              <w:rPr>
                <w:noProof/>
                <w:webHidden/>
              </w:rPr>
              <w:instrText xml:space="preserve"> PAGEREF _Toc69210659 \h </w:instrText>
            </w:r>
            <w:r w:rsidR="00013369">
              <w:rPr>
                <w:noProof/>
                <w:webHidden/>
              </w:rPr>
            </w:r>
            <w:r w:rsidR="00013369">
              <w:rPr>
                <w:noProof/>
                <w:webHidden/>
              </w:rPr>
              <w:fldChar w:fldCharType="separate"/>
            </w:r>
            <w:r w:rsidR="00376747">
              <w:rPr>
                <w:noProof/>
                <w:webHidden/>
              </w:rPr>
              <w:t>7</w:t>
            </w:r>
            <w:r w:rsidR="00013369">
              <w:rPr>
                <w:noProof/>
                <w:webHidden/>
              </w:rPr>
              <w:fldChar w:fldCharType="end"/>
            </w:r>
          </w:hyperlink>
        </w:p>
        <w:p w14:paraId="2392F57F" w14:textId="08E0996B" w:rsidR="00013369" w:rsidRDefault="00856479">
          <w:pPr>
            <w:pStyle w:val="TOC3"/>
            <w:tabs>
              <w:tab w:val="right" w:leader="dot" w:pos="9350"/>
            </w:tabs>
            <w:rPr>
              <w:rFonts w:eastAsiaTheme="minorEastAsia"/>
              <w:noProof/>
            </w:rPr>
          </w:pPr>
          <w:hyperlink w:anchor="_Toc69210660" w:history="1">
            <w:r w:rsidR="00013369" w:rsidRPr="00DE35D9">
              <w:rPr>
                <w:rStyle w:val="Hyperlink"/>
                <w:rFonts w:ascii="Arial" w:eastAsia="Calibri" w:hAnsi="Arial" w:cs="Arial"/>
                <w:noProof/>
              </w:rPr>
              <w:t>Epidemiology</w:t>
            </w:r>
            <w:r w:rsidR="00013369">
              <w:rPr>
                <w:noProof/>
                <w:webHidden/>
              </w:rPr>
              <w:tab/>
            </w:r>
            <w:r w:rsidR="00013369">
              <w:rPr>
                <w:noProof/>
                <w:webHidden/>
              </w:rPr>
              <w:fldChar w:fldCharType="begin"/>
            </w:r>
            <w:r w:rsidR="00013369">
              <w:rPr>
                <w:noProof/>
                <w:webHidden/>
              </w:rPr>
              <w:instrText xml:space="preserve"> PAGEREF _Toc69210660 \h </w:instrText>
            </w:r>
            <w:r w:rsidR="00013369">
              <w:rPr>
                <w:noProof/>
                <w:webHidden/>
              </w:rPr>
            </w:r>
            <w:r w:rsidR="00013369">
              <w:rPr>
                <w:noProof/>
                <w:webHidden/>
              </w:rPr>
              <w:fldChar w:fldCharType="separate"/>
            </w:r>
            <w:r w:rsidR="00376747">
              <w:rPr>
                <w:noProof/>
                <w:webHidden/>
              </w:rPr>
              <w:t>7</w:t>
            </w:r>
            <w:r w:rsidR="00013369">
              <w:rPr>
                <w:noProof/>
                <w:webHidden/>
              </w:rPr>
              <w:fldChar w:fldCharType="end"/>
            </w:r>
          </w:hyperlink>
        </w:p>
        <w:p w14:paraId="57E0C873" w14:textId="571B76E7" w:rsidR="00013369" w:rsidRDefault="00856479">
          <w:pPr>
            <w:pStyle w:val="TOC3"/>
            <w:tabs>
              <w:tab w:val="right" w:leader="dot" w:pos="9350"/>
            </w:tabs>
            <w:rPr>
              <w:rFonts w:eastAsiaTheme="minorEastAsia"/>
              <w:noProof/>
            </w:rPr>
          </w:pPr>
          <w:hyperlink w:anchor="_Toc69210661" w:history="1">
            <w:r w:rsidR="00013369" w:rsidRPr="00DE35D9">
              <w:rPr>
                <w:rStyle w:val="Hyperlink"/>
                <w:rFonts w:ascii="Arial" w:eastAsia="Calibri" w:hAnsi="Arial" w:cs="Arial"/>
                <w:noProof/>
              </w:rPr>
              <w:t>Experimental Animal and Mechanistic Information</w:t>
            </w:r>
            <w:r w:rsidR="00013369">
              <w:rPr>
                <w:noProof/>
                <w:webHidden/>
              </w:rPr>
              <w:tab/>
            </w:r>
            <w:r w:rsidR="00013369">
              <w:rPr>
                <w:noProof/>
                <w:webHidden/>
              </w:rPr>
              <w:fldChar w:fldCharType="begin"/>
            </w:r>
            <w:r w:rsidR="00013369">
              <w:rPr>
                <w:noProof/>
                <w:webHidden/>
              </w:rPr>
              <w:instrText xml:space="preserve"> PAGEREF _Toc69210661 \h </w:instrText>
            </w:r>
            <w:r w:rsidR="00013369">
              <w:rPr>
                <w:noProof/>
                <w:webHidden/>
              </w:rPr>
            </w:r>
            <w:r w:rsidR="00013369">
              <w:rPr>
                <w:noProof/>
                <w:webHidden/>
              </w:rPr>
              <w:fldChar w:fldCharType="separate"/>
            </w:r>
            <w:r w:rsidR="00376747">
              <w:rPr>
                <w:noProof/>
                <w:webHidden/>
              </w:rPr>
              <w:t>8</w:t>
            </w:r>
            <w:r w:rsidR="00013369">
              <w:rPr>
                <w:noProof/>
                <w:webHidden/>
              </w:rPr>
              <w:fldChar w:fldCharType="end"/>
            </w:r>
          </w:hyperlink>
        </w:p>
        <w:p w14:paraId="6576D046" w14:textId="13B53DEF" w:rsidR="00013369" w:rsidRDefault="00856479">
          <w:pPr>
            <w:pStyle w:val="TOC2"/>
            <w:tabs>
              <w:tab w:val="left" w:pos="880"/>
              <w:tab w:val="right" w:leader="dot" w:pos="9350"/>
            </w:tabs>
            <w:rPr>
              <w:rFonts w:eastAsiaTheme="minorEastAsia"/>
              <w:noProof/>
            </w:rPr>
          </w:pPr>
          <w:hyperlink w:anchor="_Toc69210662" w:history="1">
            <w:r w:rsidR="00013369" w:rsidRPr="00DE35D9">
              <w:rPr>
                <w:rStyle w:val="Hyperlink"/>
                <w:rFonts w:ascii="Arial" w:eastAsia="MS Gothic" w:hAnsi="Arial" w:cs="Times New Roman"/>
                <w:b/>
                <w:bCs/>
                <w:noProof/>
              </w:rPr>
              <w:t>2.5.</w:t>
            </w:r>
            <w:r w:rsidR="00013369">
              <w:rPr>
                <w:rFonts w:eastAsiaTheme="minorEastAsia"/>
                <w:noProof/>
              </w:rPr>
              <w:tab/>
            </w:r>
            <w:r w:rsidR="00013369" w:rsidRPr="00DE35D9">
              <w:rPr>
                <w:rStyle w:val="Hyperlink"/>
                <w:rFonts w:ascii="Arial" w:eastAsia="MS Gothic" w:hAnsi="Arial" w:cs="Times New Roman"/>
                <w:b/>
                <w:bCs/>
                <w:noProof/>
              </w:rPr>
              <w:t>Evidence Integration</w:t>
            </w:r>
            <w:r w:rsidR="00013369">
              <w:rPr>
                <w:noProof/>
                <w:webHidden/>
              </w:rPr>
              <w:tab/>
            </w:r>
            <w:r w:rsidR="00013369">
              <w:rPr>
                <w:noProof/>
                <w:webHidden/>
              </w:rPr>
              <w:fldChar w:fldCharType="begin"/>
            </w:r>
            <w:r w:rsidR="00013369">
              <w:rPr>
                <w:noProof/>
                <w:webHidden/>
              </w:rPr>
              <w:instrText xml:space="preserve"> PAGEREF _Toc69210662 \h </w:instrText>
            </w:r>
            <w:r w:rsidR="00013369">
              <w:rPr>
                <w:noProof/>
                <w:webHidden/>
              </w:rPr>
            </w:r>
            <w:r w:rsidR="00013369">
              <w:rPr>
                <w:noProof/>
                <w:webHidden/>
              </w:rPr>
              <w:fldChar w:fldCharType="separate"/>
            </w:r>
            <w:r w:rsidR="00376747">
              <w:rPr>
                <w:noProof/>
                <w:webHidden/>
              </w:rPr>
              <w:t>8</w:t>
            </w:r>
            <w:r w:rsidR="00013369">
              <w:rPr>
                <w:noProof/>
                <w:webHidden/>
              </w:rPr>
              <w:fldChar w:fldCharType="end"/>
            </w:r>
          </w:hyperlink>
        </w:p>
        <w:p w14:paraId="1A20E7DF" w14:textId="333F02F5" w:rsidR="00013369" w:rsidRDefault="00856479">
          <w:pPr>
            <w:pStyle w:val="TOC2"/>
            <w:tabs>
              <w:tab w:val="left" w:pos="880"/>
              <w:tab w:val="right" w:leader="dot" w:pos="9350"/>
            </w:tabs>
            <w:rPr>
              <w:rFonts w:eastAsiaTheme="minorEastAsia"/>
              <w:noProof/>
            </w:rPr>
          </w:pPr>
          <w:hyperlink w:anchor="_Toc69210663" w:history="1">
            <w:r w:rsidR="00013369" w:rsidRPr="00DE35D9">
              <w:rPr>
                <w:rStyle w:val="Hyperlink"/>
                <w:rFonts w:ascii="Arial" w:eastAsia="MS Gothic" w:hAnsi="Arial" w:cs="Times New Roman"/>
                <w:b/>
                <w:bCs/>
                <w:noProof/>
              </w:rPr>
              <w:t>2.6.</w:t>
            </w:r>
            <w:r w:rsidR="00013369">
              <w:rPr>
                <w:rFonts w:eastAsiaTheme="minorEastAsia"/>
                <w:noProof/>
              </w:rPr>
              <w:tab/>
            </w:r>
            <w:r w:rsidR="00013369" w:rsidRPr="00DE35D9">
              <w:rPr>
                <w:rStyle w:val="Hyperlink"/>
                <w:rFonts w:ascii="Arial" w:eastAsia="MS Gothic" w:hAnsi="Arial" w:cs="Times New Roman"/>
                <w:b/>
                <w:bCs/>
                <w:noProof/>
              </w:rPr>
              <w:t>Risk Characterization, Uncertainties, and Implications</w:t>
            </w:r>
            <w:r w:rsidR="00013369">
              <w:rPr>
                <w:noProof/>
                <w:webHidden/>
              </w:rPr>
              <w:tab/>
            </w:r>
            <w:r w:rsidR="00013369">
              <w:rPr>
                <w:noProof/>
                <w:webHidden/>
              </w:rPr>
              <w:fldChar w:fldCharType="begin"/>
            </w:r>
            <w:r w:rsidR="00013369">
              <w:rPr>
                <w:noProof/>
                <w:webHidden/>
              </w:rPr>
              <w:instrText xml:space="preserve"> PAGEREF _Toc69210663 \h </w:instrText>
            </w:r>
            <w:r w:rsidR="00013369">
              <w:rPr>
                <w:noProof/>
                <w:webHidden/>
              </w:rPr>
            </w:r>
            <w:r w:rsidR="00013369">
              <w:rPr>
                <w:noProof/>
                <w:webHidden/>
              </w:rPr>
              <w:fldChar w:fldCharType="separate"/>
            </w:r>
            <w:r w:rsidR="00376747">
              <w:rPr>
                <w:noProof/>
                <w:webHidden/>
              </w:rPr>
              <w:t>9</w:t>
            </w:r>
            <w:r w:rsidR="00013369">
              <w:rPr>
                <w:noProof/>
                <w:webHidden/>
              </w:rPr>
              <w:fldChar w:fldCharType="end"/>
            </w:r>
          </w:hyperlink>
        </w:p>
        <w:p w14:paraId="7F5D4025" w14:textId="08459BC6" w:rsidR="00970B13" w:rsidRPr="00970B13" w:rsidRDefault="00970B13" w:rsidP="00970B13">
          <w:r>
            <w:rPr>
              <w:b/>
              <w:bCs/>
              <w:noProof/>
            </w:rPr>
            <w:fldChar w:fldCharType="end"/>
          </w:r>
        </w:p>
      </w:sdtContent>
    </w:sdt>
    <w:p w14:paraId="3772CE91" w14:textId="77777777" w:rsidR="00970B13" w:rsidRDefault="00970B13">
      <w:pPr>
        <w:spacing w:after="160" w:line="259" w:lineRule="auto"/>
        <w:jc w:val="left"/>
        <w:rPr>
          <w:rFonts w:ascii="Arial" w:eastAsia="MS Gothic" w:hAnsi="Arial" w:cs="Times New Roman"/>
          <w:b/>
          <w:bCs/>
        </w:rPr>
      </w:pPr>
      <w:r>
        <w:rPr>
          <w:rFonts w:ascii="Arial" w:eastAsia="MS Gothic" w:hAnsi="Arial" w:cs="Times New Roman"/>
          <w:b/>
          <w:bCs/>
        </w:rPr>
        <w:br w:type="page"/>
      </w:r>
    </w:p>
    <w:p w14:paraId="69512B8A" w14:textId="3E5CF638" w:rsidR="00662D9C" w:rsidRDefault="00662D9C" w:rsidP="00A3248B">
      <w:pPr>
        <w:pStyle w:val="ListParagraph"/>
        <w:keepNext/>
        <w:keepLines/>
        <w:numPr>
          <w:ilvl w:val="0"/>
          <w:numId w:val="1"/>
        </w:numPr>
        <w:spacing w:before="200" w:after="120" w:line="240" w:lineRule="atLeast"/>
        <w:contextualSpacing w:val="0"/>
        <w:jc w:val="left"/>
        <w:outlineLvl w:val="1"/>
        <w:rPr>
          <w:rFonts w:ascii="Arial" w:eastAsia="MS Gothic" w:hAnsi="Arial" w:cs="Times New Roman"/>
          <w:b/>
          <w:bCs/>
        </w:rPr>
      </w:pPr>
      <w:bookmarkStart w:id="2" w:name="_Toc69210651"/>
      <w:r>
        <w:rPr>
          <w:rFonts w:ascii="Arial" w:eastAsia="MS Gothic" w:hAnsi="Arial" w:cs="Times New Roman"/>
          <w:b/>
          <w:bCs/>
        </w:rPr>
        <w:lastRenderedPageBreak/>
        <w:t>Introduction</w:t>
      </w:r>
      <w:bookmarkEnd w:id="2"/>
    </w:p>
    <w:p w14:paraId="33932698" w14:textId="09252C09" w:rsidR="006B179E" w:rsidRPr="006B179E" w:rsidRDefault="00662D9C" w:rsidP="006B179E">
      <w:pPr>
        <w:pStyle w:val="ListParagraph"/>
        <w:keepNext/>
        <w:keepLines/>
        <w:numPr>
          <w:ilvl w:val="1"/>
          <w:numId w:val="1"/>
        </w:numPr>
        <w:spacing w:before="200" w:after="120" w:line="240" w:lineRule="atLeast"/>
        <w:jc w:val="left"/>
        <w:outlineLvl w:val="1"/>
        <w:rPr>
          <w:rFonts w:ascii="Arial" w:eastAsia="MS Gothic" w:hAnsi="Arial" w:cs="Times New Roman"/>
          <w:b/>
          <w:bCs/>
        </w:rPr>
      </w:pPr>
      <w:bookmarkStart w:id="3" w:name="_Toc69210652"/>
      <w:r>
        <w:rPr>
          <w:rFonts w:ascii="Arial" w:eastAsia="MS Gothic" w:hAnsi="Arial" w:cs="Times New Roman"/>
          <w:b/>
          <w:bCs/>
        </w:rPr>
        <w:t>Rationale</w:t>
      </w:r>
      <w:bookmarkEnd w:id="3"/>
    </w:p>
    <w:p w14:paraId="32264DE2" w14:textId="400F2C8C" w:rsidR="00500100" w:rsidRPr="006B179E" w:rsidRDefault="009360D5" w:rsidP="00D9646A">
      <w:pPr>
        <w:ind w:left="1440"/>
        <w:jc w:val="left"/>
        <w:rPr>
          <w:rFonts w:ascii="Arial" w:hAnsi="Arial" w:cs="Arial"/>
          <w:sz w:val="20"/>
        </w:rPr>
      </w:pPr>
      <w:r w:rsidRPr="006B179E">
        <w:rPr>
          <w:rFonts w:ascii="Arial" w:hAnsi="Arial" w:cs="Arial"/>
          <w:sz w:val="20"/>
        </w:rPr>
        <w:t>Talc (hydrated magnesium silicate) is neither an amphibole mineral nor a form of asbestos</w:t>
      </w:r>
      <w:r w:rsidR="008B6749">
        <w:rPr>
          <w:rFonts w:ascii="Arial" w:hAnsi="Arial" w:cs="Arial"/>
          <w:sz w:val="20"/>
        </w:rPr>
        <w:t>, but the mined mineral talc will contain various amounts and forms of accessory minerals</w:t>
      </w:r>
      <w:r w:rsidRPr="006B179E">
        <w:rPr>
          <w:rFonts w:ascii="Arial" w:hAnsi="Arial" w:cs="Arial"/>
          <w:sz w:val="20"/>
        </w:rPr>
        <w:t xml:space="preserve">. </w:t>
      </w:r>
      <w:r w:rsidR="009A1860">
        <w:rPr>
          <w:rFonts w:ascii="Arial" w:hAnsi="Arial" w:cs="Arial"/>
          <w:sz w:val="20"/>
        </w:rPr>
        <w:t xml:space="preserve">Pharmaceutical-grade talc is the </w:t>
      </w:r>
      <w:proofErr w:type="gramStart"/>
      <w:r w:rsidR="009A1860">
        <w:rPr>
          <w:rFonts w:ascii="Arial" w:hAnsi="Arial" w:cs="Arial"/>
          <w:sz w:val="20"/>
        </w:rPr>
        <w:t>most pure</w:t>
      </w:r>
      <w:proofErr w:type="gramEnd"/>
      <w:r w:rsidR="009A1860">
        <w:rPr>
          <w:rFonts w:ascii="Arial" w:hAnsi="Arial" w:cs="Arial"/>
          <w:sz w:val="20"/>
        </w:rPr>
        <w:t xml:space="preserve"> form of talc </w:t>
      </w:r>
      <w:r w:rsidR="00D9646A">
        <w:rPr>
          <w:rFonts w:ascii="Arial" w:hAnsi="Arial" w:cs="Arial"/>
          <w:sz w:val="20"/>
        </w:rPr>
        <w:t>(</w:t>
      </w:r>
      <w:r w:rsidR="00D9646A" w:rsidRPr="00D9646A">
        <w:rPr>
          <w:rFonts w:ascii="Arial" w:hAnsi="Arial" w:cs="Arial"/>
          <w:sz w:val="20"/>
        </w:rPr>
        <w:t>minimum of 99% talc</w:t>
      </w:r>
      <w:r w:rsidR="00D9646A">
        <w:rPr>
          <w:rFonts w:ascii="Arial" w:hAnsi="Arial" w:cs="Arial"/>
          <w:sz w:val="20"/>
        </w:rPr>
        <w:t xml:space="preserve">) </w:t>
      </w:r>
      <w:r w:rsidR="009A1860">
        <w:rPr>
          <w:rFonts w:ascii="Arial" w:hAnsi="Arial" w:cs="Arial"/>
          <w:sz w:val="20"/>
        </w:rPr>
        <w:t xml:space="preserve">followed by cosmetic-grade talc and industrial-grade talc. Industrial talc </w:t>
      </w:r>
      <w:r w:rsidR="009A1860" w:rsidRPr="009A1860">
        <w:rPr>
          <w:rFonts w:ascii="Arial" w:hAnsi="Arial" w:cs="Arial"/>
          <w:sz w:val="20"/>
        </w:rPr>
        <w:t>is reported to contain a variety of accessory minerals including tremolite, anthophyllite, carbonate and a small amount of crystalline silica</w:t>
      </w:r>
      <w:r w:rsidR="009A1860">
        <w:rPr>
          <w:rFonts w:ascii="Arial" w:hAnsi="Arial" w:cs="Arial"/>
          <w:sz w:val="20"/>
        </w:rPr>
        <w:t xml:space="preserve">. </w:t>
      </w:r>
      <w:r w:rsidRPr="006B179E">
        <w:rPr>
          <w:rFonts w:ascii="Arial" w:hAnsi="Arial" w:cs="Arial"/>
          <w:sz w:val="20"/>
        </w:rPr>
        <w:t xml:space="preserve">It has </w:t>
      </w:r>
      <w:r w:rsidR="009A1860">
        <w:rPr>
          <w:rFonts w:ascii="Arial" w:hAnsi="Arial" w:cs="Arial"/>
          <w:sz w:val="20"/>
        </w:rPr>
        <w:t xml:space="preserve">also </w:t>
      </w:r>
      <w:r w:rsidRPr="006B179E">
        <w:rPr>
          <w:rFonts w:ascii="Arial" w:hAnsi="Arial" w:cs="Arial"/>
          <w:sz w:val="20"/>
        </w:rPr>
        <w:t>been reported that some cosmetic talc as well as finished talcum powders may have been contaminated with asbestiform minerals; however, much controversy surrounds the methods used to correctly identify and quantify asbestos fibers (Fiume et al. 2015).</w:t>
      </w:r>
      <w:r w:rsidRPr="006B179E">
        <w:rPr>
          <w:rFonts w:ascii="Arial" w:hAnsi="Arial" w:cs="Arial"/>
          <w:sz w:val="20"/>
          <w:vertAlign w:val="superscript"/>
        </w:rPr>
        <w:footnoteReference w:id="1"/>
      </w:r>
      <w:r w:rsidRPr="006B179E">
        <w:rPr>
          <w:rFonts w:ascii="Arial" w:hAnsi="Arial" w:cs="Arial"/>
          <w:sz w:val="20"/>
        </w:rPr>
        <w:t xml:space="preserve"> </w:t>
      </w:r>
      <w:r w:rsidR="00500100" w:rsidRPr="006B179E">
        <w:rPr>
          <w:rFonts w:ascii="Arial" w:hAnsi="Arial" w:cs="Arial"/>
          <w:sz w:val="20"/>
        </w:rPr>
        <w:t xml:space="preserve">The published literature generally fails to demonstrate that talc and consumer products containing talc (such as body powders) increase the risk of any human cancer. </w:t>
      </w:r>
      <w:r w:rsidRPr="006B179E">
        <w:rPr>
          <w:rFonts w:ascii="Arial" w:hAnsi="Arial" w:cs="Arial"/>
          <w:sz w:val="20"/>
        </w:rPr>
        <w:t xml:space="preserve">Select studies, however, have been used by policymakers, the public, and attorneys, among others, to link talc with human health effects, including cancer. </w:t>
      </w:r>
      <w:r w:rsidR="00500100" w:rsidRPr="006B179E">
        <w:rPr>
          <w:rFonts w:ascii="Arial" w:hAnsi="Arial" w:cs="Arial"/>
          <w:sz w:val="20"/>
        </w:rPr>
        <w:t>This highlights the importance and need for an objective and transparent systematic review of the scientific literature with a primary focus on the epidemiological evidence – but also addressing and integrating evidence from key animal and mechanistic studies – that plainly sets forth the most valid interpretations and conclusions and the scientific basis for them.</w:t>
      </w:r>
    </w:p>
    <w:p w14:paraId="4A6B65B8" w14:textId="1E732084" w:rsidR="00986C72" w:rsidRPr="00662D9C" w:rsidRDefault="00970B13" w:rsidP="00662D9C">
      <w:pPr>
        <w:pStyle w:val="ListParagraph"/>
        <w:keepNext/>
        <w:keepLines/>
        <w:numPr>
          <w:ilvl w:val="1"/>
          <w:numId w:val="1"/>
        </w:numPr>
        <w:spacing w:before="200" w:after="120" w:line="240" w:lineRule="atLeast"/>
        <w:jc w:val="left"/>
        <w:outlineLvl w:val="1"/>
        <w:rPr>
          <w:rFonts w:ascii="Arial" w:eastAsia="MS Gothic" w:hAnsi="Arial" w:cs="Times New Roman"/>
          <w:b/>
          <w:bCs/>
        </w:rPr>
      </w:pPr>
      <w:bookmarkStart w:id="4" w:name="_Toc69210653"/>
      <w:r w:rsidRPr="00662D9C">
        <w:rPr>
          <w:rFonts w:ascii="Arial" w:eastAsia="MS Gothic" w:hAnsi="Arial" w:cs="Times New Roman"/>
          <w:b/>
          <w:bCs/>
        </w:rPr>
        <w:t>Objective</w:t>
      </w:r>
      <w:bookmarkEnd w:id="4"/>
    </w:p>
    <w:p w14:paraId="15156708" w14:textId="754A1580" w:rsidR="00D66D02" w:rsidRDefault="00B13362" w:rsidP="00B13362">
      <w:pPr>
        <w:spacing w:after="180" w:line="240" w:lineRule="atLeast"/>
        <w:ind w:left="1440"/>
        <w:jc w:val="left"/>
        <w:rPr>
          <w:rFonts w:ascii="Arial" w:eastAsia="Calibri" w:hAnsi="Arial" w:cs="Arial"/>
          <w:sz w:val="20"/>
          <w:szCs w:val="20"/>
        </w:rPr>
      </w:pPr>
      <w:r>
        <w:rPr>
          <w:rFonts w:ascii="Arial" w:eastAsia="Calibri" w:hAnsi="Arial" w:cs="Arial"/>
          <w:sz w:val="20"/>
          <w:szCs w:val="20"/>
        </w:rPr>
        <w:t xml:space="preserve">The primary objective of this systematic review (SR) is to </w:t>
      </w:r>
      <w:r w:rsidR="00D906F2">
        <w:rPr>
          <w:rFonts w:ascii="Arial" w:eastAsia="Calibri" w:hAnsi="Arial" w:cs="Arial"/>
          <w:sz w:val="20"/>
          <w:szCs w:val="20"/>
        </w:rPr>
        <w:t xml:space="preserve">critically </w:t>
      </w:r>
      <w:r>
        <w:rPr>
          <w:rFonts w:ascii="Arial" w:eastAsia="Calibri" w:hAnsi="Arial" w:cs="Arial"/>
          <w:sz w:val="20"/>
          <w:szCs w:val="20"/>
        </w:rPr>
        <w:t>evaluate the</w:t>
      </w:r>
      <w:r w:rsidR="00D906F2">
        <w:rPr>
          <w:rFonts w:ascii="Arial" w:eastAsia="Calibri" w:hAnsi="Arial" w:cs="Arial"/>
          <w:sz w:val="20"/>
          <w:szCs w:val="20"/>
        </w:rPr>
        <w:t xml:space="preserve"> possible relationship(s)</w:t>
      </w:r>
      <w:r>
        <w:rPr>
          <w:rFonts w:ascii="Arial" w:eastAsia="Calibri" w:hAnsi="Arial" w:cs="Arial"/>
          <w:sz w:val="20"/>
          <w:szCs w:val="20"/>
        </w:rPr>
        <w:t xml:space="preserve"> between </w:t>
      </w:r>
      <w:r w:rsidR="00986C72" w:rsidRPr="00412554">
        <w:rPr>
          <w:rFonts w:ascii="Arial" w:eastAsia="Calibri" w:hAnsi="Arial" w:cs="Arial"/>
          <w:sz w:val="20"/>
          <w:szCs w:val="20"/>
        </w:rPr>
        <w:t xml:space="preserve">exposure to talc occupationally and from the use of talc-containing products (primarily talcum powders and cosmetics) </w:t>
      </w:r>
      <w:r w:rsidR="00D66D02">
        <w:rPr>
          <w:rFonts w:ascii="Arial" w:eastAsia="Calibri" w:hAnsi="Arial" w:cs="Arial"/>
          <w:sz w:val="20"/>
          <w:szCs w:val="20"/>
        </w:rPr>
        <w:t>and cancer</w:t>
      </w:r>
      <w:r w:rsidR="00D906F2">
        <w:rPr>
          <w:rFonts w:ascii="Arial" w:eastAsia="Calibri" w:hAnsi="Arial" w:cs="Arial"/>
          <w:sz w:val="20"/>
          <w:szCs w:val="20"/>
        </w:rPr>
        <w:t xml:space="preserve">(s). For each possible association, we will present the evidence </w:t>
      </w:r>
      <w:r w:rsidR="00FE4A35">
        <w:rPr>
          <w:rFonts w:ascii="Arial" w:eastAsia="Calibri" w:hAnsi="Arial" w:cs="Arial"/>
          <w:sz w:val="20"/>
          <w:szCs w:val="20"/>
        </w:rPr>
        <w:t xml:space="preserve">supporting and detracting from </w:t>
      </w:r>
      <w:r w:rsidR="00D906F2">
        <w:rPr>
          <w:rFonts w:ascii="Arial" w:eastAsia="Calibri" w:hAnsi="Arial" w:cs="Arial"/>
          <w:sz w:val="20"/>
          <w:szCs w:val="20"/>
        </w:rPr>
        <w:t>causality</w:t>
      </w:r>
      <w:r>
        <w:rPr>
          <w:rFonts w:ascii="Arial" w:eastAsia="Calibri" w:hAnsi="Arial" w:cs="Arial"/>
          <w:sz w:val="20"/>
          <w:szCs w:val="20"/>
        </w:rPr>
        <w:t>.</w:t>
      </w:r>
      <w:r w:rsidR="00D66D02">
        <w:rPr>
          <w:rFonts w:ascii="Arial" w:eastAsia="Calibri" w:hAnsi="Arial" w:cs="Arial"/>
          <w:sz w:val="20"/>
          <w:szCs w:val="20"/>
        </w:rPr>
        <w:t xml:space="preserve"> </w:t>
      </w:r>
      <w:r w:rsidR="00986C72" w:rsidRPr="00412554">
        <w:rPr>
          <w:rFonts w:ascii="Arial" w:eastAsia="Calibri" w:hAnsi="Arial" w:cs="Arial"/>
          <w:sz w:val="20"/>
          <w:szCs w:val="20"/>
        </w:rPr>
        <w:t xml:space="preserve">The focus of our systematic review will be on female reproductive tract cancers (primarily ovarian cancers), but additional specific endpoints may be addressed should the literature review indicate that other endpoints warrant consideration. </w:t>
      </w:r>
    </w:p>
    <w:p w14:paraId="3BABDA0D" w14:textId="6E21353A" w:rsidR="00B13362" w:rsidRPr="00A3248B" w:rsidRDefault="00955170" w:rsidP="00A3248B">
      <w:pPr>
        <w:pStyle w:val="ListParagraph"/>
        <w:keepNext/>
        <w:keepLines/>
        <w:numPr>
          <w:ilvl w:val="0"/>
          <w:numId w:val="1"/>
        </w:numPr>
        <w:spacing w:before="200" w:after="120" w:line="240" w:lineRule="atLeast"/>
        <w:jc w:val="left"/>
        <w:outlineLvl w:val="1"/>
        <w:rPr>
          <w:rFonts w:ascii="Arial" w:eastAsia="MS Gothic" w:hAnsi="Arial" w:cs="Times New Roman"/>
          <w:b/>
          <w:bCs/>
        </w:rPr>
      </w:pPr>
      <w:bookmarkStart w:id="5" w:name="_Toc69210654"/>
      <w:r w:rsidRPr="00662D9C">
        <w:rPr>
          <w:rFonts w:ascii="Arial" w:eastAsia="MS Gothic" w:hAnsi="Arial" w:cs="Times New Roman"/>
          <w:b/>
          <w:bCs/>
        </w:rPr>
        <w:t>Methods</w:t>
      </w:r>
      <w:bookmarkEnd w:id="5"/>
    </w:p>
    <w:p w14:paraId="037683F5" w14:textId="177BE0AE" w:rsidR="007A2FFA" w:rsidRDefault="00B13362" w:rsidP="007A2FFA">
      <w:pPr>
        <w:spacing w:after="180" w:line="240" w:lineRule="atLeast"/>
        <w:ind w:left="1440"/>
        <w:jc w:val="left"/>
        <w:rPr>
          <w:rFonts w:ascii="Arial" w:eastAsia="Calibri" w:hAnsi="Arial" w:cs="Arial"/>
          <w:sz w:val="20"/>
          <w:szCs w:val="20"/>
        </w:rPr>
      </w:pPr>
      <w:r>
        <w:rPr>
          <w:rFonts w:ascii="Arial" w:eastAsia="Calibri" w:hAnsi="Arial" w:cs="Arial"/>
          <w:sz w:val="20"/>
          <w:szCs w:val="20"/>
        </w:rPr>
        <w:t xml:space="preserve">This SR will be conducted </w:t>
      </w:r>
      <w:r w:rsidRPr="00412554">
        <w:rPr>
          <w:rFonts w:ascii="Arial" w:eastAsia="Calibri" w:hAnsi="Arial" w:cs="Arial"/>
          <w:sz w:val="20"/>
          <w:szCs w:val="20"/>
        </w:rPr>
        <w:t>in accordance with best practices and guidance –</w:t>
      </w:r>
      <w:r w:rsidR="00A91983">
        <w:rPr>
          <w:rFonts w:ascii="Arial" w:eastAsia="Calibri" w:hAnsi="Arial" w:cs="Arial"/>
          <w:sz w:val="20"/>
          <w:szCs w:val="20"/>
        </w:rPr>
        <w:t xml:space="preserve"> </w:t>
      </w:r>
      <w:r w:rsidR="0087498A">
        <w:rPr>
          <w:rFonts w:ascii="Arial" w:eastAsia="Calibri" w:hAnsi="Arial" w:cs="Arial"/>
          <w:sz w:val="20"/>
          <w:szCs w:val="20"/>
        </w:rPr>
        <w:t xml:space="preserve">incorporating aspects from </w:t>
      </w:r>
      <w:proofErr w:type="gramStart"/>
      <w:r w:rsidR="0087498A">
        <w:rPr>
          <w:rFonts w:ascii="Arial" w:eastAsia="Calibri" w:hAnsi="Arial" w:cs="Arial"/>
          <w:sz w:val="20"/>
          <w:szCs w:val="20"/>
        </w:rPr>
        <w:t>a number of</w:t>
      </w:r>
      <w:proofErr w:type="gramEnd"/>
      <w:r w:rsidR="0087498A">
        <w:rPr>
          <w:rFonts w:ascii="Arial" w:eastAsia="Calibri" w:hAnsi="Arial" w:cs="Arial"/>
          <w:sz w:val="20"/>
          <w:szCs w:val="20"/>
        </w:rPr>
        <w:t xml:space="preserve"> recognized systems including</w:t>
      </w:r>
      <w:r>
        <w:rPr>
          <w:rFonts w:ascii="Arial" w:eastAsia="Calibri" w:hAnsi="Arial" w:cs="Arial"/>
          <w:sz w:val="20"/>
          <w:szCs w:val="20"/>
        </w:rPr>
        <w:t xml:space="preserve"> the Institute of Medicine (IOM) framework</w:t>
      </w:r>
      <w:r>
        <w:rPr>
          <w:rStyle w:val="FootnoteReference"/>
          <w:rFonts w:ascii="Arial" w:eastAsia="Calibri" w:hAnsi="Arial" w:cs="Arial"/>
          <w:sz w:val="20"/>
          <w:szCs w:val="20"/>
        </w:rPr>
        <w:footnoteReference w:id="2"/>
      </w:r>
      <w:r w:rsidR="0087498A">
        <w:rPr>
          <w:rFonts w:ascii="Arial" w:eastAsia="Calibri" w:hAnsi="Arial" w:cs="Arial"/>
          <w:sz w:val="20"/>
          <w:szCs w:val="20"/>
        </w:rPr>
        <w:t xml:space="preserve">, </w:t>
      </w:r>
      <w:r w:rsidRPr="00412554">
        <w:rPr>
          <w:rFonts w:ascii="Arial" w:eastAsia="Calibri" w:hAnsi="Arial" w:cs="Arial"/>
          <w:sz w:val="20"/>
          <w:szCs w:val="20"/>
        </w:rPr>
        <w:t xml:space="preserve">EPA’s </w:t>
      </w:r>
      <w:r w:rsidRPr="00412554">
        <w:rPr>
          <w:rFonts w:ascii="Arial" w:eastAsia="Calibri" w:hAnsi="Arial" w:cs="Arial"/>
          <w:i/>
          <w:sz w:val="20"/>
          <w:szCs w:val="20"/>
        </w:rPr>
        <w:t>Application of Systematic Review in TSCA Risk Evaluations</w:t>
      </w:r>
      <w:r w:rsidRPr="00412554">
        <w:rPr>
          <w:rFonts w:ascii="Arial" w:eastAsia="Calibri" w:hAnsi="Arial" w:cs="Arial"/>
          <w:i/>
          <w:sz w:val="20"/>
          <w:szCs w:val="20"/>
          <w:vertAlign w:val="superscript"/>
        </w:rPr>
        <w:footnoteReference w:id="3"/>
      </w:r>
      <w:r>
        <w:rPr>
          <w:rFonts w:ascii="Arial" w:eastAsia="Calibri" w:hAnsi="Arial" w:cs="Arial"/>
          <w:i/>
          <w:sz w:val="20"/>
          <w:szCs w:val="20"/>
        </w:rPr>
        <w:t xml:space="preserve">, </w:t>
      </w:r>
      <w:r w:rsidRPr="00412554">
        <w:rPr>
          <w:rFonts w:ascii="Arial" w:eastAsia="Calibri" w:hAnsi="Arial" w:cs="Arial"/>
          <w:sz w:val="20"/>
          <w:szCs w:val="20"/>
        </w:rPr>
        <w:t>the National Toxicology Program’s Office of Health and Translation (OHAT) systematic review framework</w:t>
      </w:r>
      <w:r w:rsidRPr="00412554">
        <w:rPr>
          <w:rFonts w:ascii="Arial" w:eastAsia="Calibri" w:hAnsi="Arial" w:cs="Arial"/>
          <w:sz w:val="20"/>
          <w:szCs w:val="20"/>
          <w:vertAlign w:val="superscript"/>
        </w:rPr>
        <w:footnoteReference w:id="4"/>
      </w:r>
      <w:r w:rsidRPr="00412554">
        <w:rPr>
          <w:rFonts w:ascii="Arial" w:eastAsia="Calibri" w:hAnsi="Arial" w:cs="Arial"/>
          <w:sz w:val="20"/>
          <w:szCs w:val="20"/>
        </w:rPr>
        <w:t>, guidance from the National Academies of Sciences, Engineering</w:t>
      </w:r>
      <w:r>
        <w:rPr>
          <w:rFonts w:ascii="Arial" w:eastAsia="Calibri" w:hAnsi="Arial" w:cs="Arial"/>
          <w:sz w:val="20"/>
          <w:szCs w:val="20"/>
        </w:rPr>
        <w:t xml:space="preserve"> (NASEM)</w:t>
      </w:r>
      <w:r w:rsidRPr="00412554">
        <w:rPr>
          <w:rFonts w:ascii="Arial" w:eastAsia="Calibri" w:hAnsi="Arial" w:cs="Arial"/>
          <w:sz w:val="20"/>
          <w:szCs w:val="20"/>
        </w:rPr>
        <w:t>,</w:t>
      </w:r>
      <w:r w:rsidR="00D9646A">
        <w:rPr>
          <w:rFonts w:ascii="Arial" w:eastAsia="Calibri" w:hAnsi="Arial" w:cs="Arial"/>
          <w:sz w:val="20"/>
          <w:szCs w:val="20"/>
        </w:rPr>
        <w:t xml:space="preserve"> EPA,</w:t>
      </w:r>
      <w:r w:rsidRPr="00412554">
        <w:rPr>
          <w:rFonts w:ascii="Arial" w:eastAsia="Calibri" w:hAnsi="Arial" w:cs="Arial"/>
          <w:sz w:val="20"/>
          <w:szCs w:val="20"/>
        </w:rPr>
        <w:t xml:space="preserve"> and others.</w:t>
      </w:r>
      <w:r>
        <w:rPr>
          <w:rFonts w:ascii="Arial" w:eastAsia="Calibri" w:hAnsi="Arial" w:cs="Arial"/>
          <w:sz w:val="20"/>
          <w:szCs w:val="20"/>
        </w:rPr>
        <w:t xml:space="preserve"> The review </w:t>
      </w:r>
      <w:r w:rsidR="00FE4A35">
        <w:rPr>
          <w:rFonts w:ascii="Arial" w:eastAsia="Calibri" w:hAnsi="Arial" w:cs="Arial"/>
          <w:sz w:val="20"/>
          <w:szCs w:val="20"/>
        </w:rPr>
        <w:t xml:space="preserve">also </w:t>
      </w:r>
      <w:r>
        <w:rPr>
          <w:rFonts w:ascii="Arial" w:eastAsia="Calibri" w:hAnsi="Arial" w:cs="Arial"/>
          <w:sz w:val="20"/>
          <w:szCs w:val="20"/>
        </w:rPr>
        <w:t xml:space="preserve">will </w:t>
      </w:r>
      <w:r w:rsidR="00FE4A35">
        <w:rPr>
          <w:rFonts w:ascii="Arial" w:eastAsia="Calibri" w:hAnsi="Arial" w:cs="Arial"/>
          <w:sz w:val="20"/>
          <w:szCs w:val="20"/>
        </w:rPr>
        <w:t xml:space="preserve">adhere </w:t>
      </w:r>
      <w:proofErr w:type="gramStart"/>
      <w:r w:rsidR="00FE4A35">
        <w:rPr>
          <w:rFonts w:ascii="Arial" w:eastAsia="Calibri" w:hAnsi="Arial" w:cs="Arial"/>
          <w:sz w:val="20"/>
          <w:szCs w:val="20"/>
        </w:rPr>
        <w:t>to</w:t>
      </w:r>
      <w:proofErr w:type="gramEnd"/>
      <w:r>
        <w:rPr>
          <w:rFonts w:ascii="Arial" w:eastAsia="Calibri" w:hAnsi="Arial" w:cs="Arial"/>
          <w:sz w:val="20"/>
          <w:szCs w:val="20"/>
        </w:rPr>
        <w:t xml:space="preserve"> and </w:t>
      </w:r>
      <w:r w:rsidR="00FE4A35">
        <w:rPr>
          <w:rFonts w:ascii="Arial" w:eastAsia="Calibri" w:hAnsi="Arial" w:cs="Arial"/>
          <w:sz w:val="20"/>
          <w:szCs w:val="20"/>
        </w:rPr>
        <w:t xml:space="preserve">we will </w:t>
      </w:r>
      <w:r>
        <w:rPr>
          <w:rFonts w:ascii="Arial" w:eastAsia="Calibri" w:hAnsi="Arial" w:cs="Arial"/>
          <w:sz w:val="20"/>
          <w:szCs w:val="20"/>
        </w:rPr>
        <w:t xml:space="preserve">complete the PRISMA checklist for systematic reviews. While each of these frameworks </w:t>
      </w:r>
      <w:r w:rsidR="00FE4A35">
        <w:rPr>
          <w:rFonts w:ascii="Arial" w:eastAsia="Calibri" w:hAnsi="Arial" w:cs="Arial"/>
          <w:sz w:val="20"/>
          <w:szCs w:val="20"/>
        </w:rPr>
        <w:t xml:space="preserve">is </w:t>
      </w:r>
      <w:r w:rsidR="007A2FFA">
        <w:rPr>
          <w:rFonts w:ascii="Arial" w:eastAsia="Calibri" w:hAnsi="Arial" w:cs="Arial"/>
          <w:sz w:val="20"/>
          <w:szCs w:val="20"/>
        </w:rPr>
        <w:t xml:space="preserve">fit-for-purpose, the principles of systematic review </w:t>
      </w:r>
      <w:r w:rsidR="00FE4A35">
        <w:rPr>
          <w:rFonts w:ascii="Arial" w:eastAsia="Calibri" w:hAnsi="Arial" w:cs="Arial"/>
          <w:sz w:val="20"/>
          <w:szCs w:val="20"/>
        </w:rPr>
        <w:t xml:space="preserve">essentially </w:t>
      </w:r>
      <w:r w:rsidR="007A2FFA">
        <w:rPr>
          <w:rFonts w:ascii="Arial" w:eastAsia="Calibri" w:hAnsi="Arial" w:cs="Arial"/>
          <w:sz w:val="20"/>
          <w:szCs w:val="20"/>
        </w:rPr>
        <w:t>are the same</w:t>
      </w:r>
      <w:r w:rsidR="00FE4A35">
        <w:rPr>
          <w:rFonts w:ascii="Arial" w:eastAsia="Calibri" w:hAnsi="Arial" w:cs="Arial"/>
          <w:sz w:val="20"/>
          <w:szCs w:val="20"/>
        </w:rPr>
        <w:t xml:space="preserve"> across all of these</w:t>
      </w:r>
      <w:r w:rsidR="007A2FFA">
        <w:rPr>
          <w:rFonts w:ascii="Arial" w:eastAsia="Calibri" w:hAnsi="Arial" w:cs="Arial"/>
          <w:sz w:val="20"/>
          <w:szCs w:val="20"/>
        </w:rPr>
        <w:t xml:space="preserve">. </w:t>
      </w:r>
      <w:r w:rsidR="00D66D02">
        <w:rPr>
          <w:rFonts w:ascii="Arial" w:eastAsia="Calibri" w:hAnsi="Arial" w:cs="Arial"/>
          <w:sz w:val="20"/>
          <w:szCs w:val="20"/>
        </w:rPr>
        <w:t>The general steps</w:t>
      </w:r>
      <w:r w:rsidR="00FE4A35">
        <w:rPr>
          <w:rFonts w:ascii="Arial" w:eastAsia="Calibri" w:hAnsi="Arial" w:cs="Arial"/>
          <w:sz w:val="20"/>
          <w:szCs w:val="20"/>
        </w:rPr>
        <w:t xml:space="preserve"> for our review</w:t>
      </w:r>
      <w:r w:rsidR="00D66D02">
        <w:rPr>
          <w:rFonts w:ascii="Arial" w:eastAsia="Calibri" w:hAnsi="Arial" w:cs="Arial"/>
          <w:sz w:val="20"/>
          <w:szCs w:val="20"/>
        </w:rPr>
        <w:t xml:space="preserve"> are outlined in Figure 1 (below).</w:t>
      </w:r>
    </w:p>
    <w:p w14:paraId="604F4B57" w14:textId="26309380" w:rsidR="00D66D02" w:rsidRPr="00412554" w:rsidRDefault="00D66D02" w:rsidP="00D66D02">
      <w:pPr>
        <w:spacing w:after="180" w:line="240" w:lineRule="atLeast"/>
        <w:ind w:left="1440"/>
        <w:jc w:val="left"/>
        <w:rPr>
          <w:rFonts w:ascii="Arial" w:eastAsia="Calibri" w:hAnsi="Arial" w:cs="Arial"/>
          <w:sz w:val="20"/>
          <w:szCs w:val="20"/>
        </w:rPr>
      </w:pPr>
      <w:r>
        <w:rPr>
          <w:rFonts w:ascii="Arial" w:eastAsia="Calibri" w:hAnsi="Arial" w:cs="Arial"/>
          <w:sz w:val="20"/>
          <w:szCs w:val="20"/>
        </w:rPr>
        <w:t>We will conduct</w:t>
      </w:r>
      <w:r w:rsidRPr="00412554">
        <w:rPr>
          <w:rFonts w:ascii="Arial" w:eastAsia="Calibri" w:hAnsi="Arial" w:cs="Arial"/>
          <w:sz w:val="20"/>
          <w:szCs w:val="20"/>
        </w:rPr>
        <w:t xml:space="preserve"> </w:t>
      </w:r>
      <w:r w:rsidR="00FE4A35">
        <w:rPr>
          <w:rFonts w:ascii="Arial" w:eastAsia="Calibri" w:hAnsi="Arial" w:cs="Arial"/>
          <w:sz w:val="20"/>
          <w:szCs w:val="20"/>
        </w:rPr>
        <w:t xml:space="preserve">a </w:t>
      </w:r>
      <w:r w:rsidRPr="00412554">
        <w:rPr>
          <w:rFonts w:ascii="Arial" w:eastAsia="Calibri" w:hAnsi="Arial" w:cs="Arial"/>
          <w:sz w:val="20"/>
          <w:szCs w:val="20"/>
        </w:rPr>
        <w:t xml:space="preserve">robust and transparent critical review with a strong focus on the quality assessment of each primary study, synthesizing and integrating evidence as possible across epidemiological, toxicological and disease mechanistic lines of inquiry. Specific </w:t>
      </w:r>
      <w:r w:rsidRPr="00412554">
        <w:rPr>
          <w:rFonts w:ascii="Arial" w:eastAsia="Calibri" w:hAnsi="Arial" w:cs="Arial"/>
          <w:sz w:val="20"/>
          <w:szCs w:val="20"/>
        </w:rPr>
        <w:lastRenderedPageBreak/>
        <w:t>strengths and limitations of the systematically identified body of literature as well as critical evidentiary gaps will be presented and discussed. Where</w:t>
      </w:r>
      <w:r w:rsidRPr="00412554">
        <w:t xml:space="preserve"> </w:t>
      </w:r>
      <w:r w:rsidR="00FE4A35">
        <w:t xml:space="preserve">any </w:t>
      </w:r>
      <w:r w:rsidRPr="00412554">
        <w:rPr>
          <w:rFonts w:ascii="Arial" w:eastAsia="Calibri" w:hAnsi="Arial" w:cs="Arial"/>
          <w:sz w:val="20"/>
          <w:szCs w:val="20"/>
        </w:rPr>
        <w:t xml:space="preserve">cancer hazards of talc exposure are identified, exposure levels and scenarios at which risk is </w:t>
      </w:r>
      <w:r w:rsidR="00FE4A35" w:rsidRPr="00412554">
        <w:rPr>
          <w:rFonts w:ascii="Arial" w:eastAsia="Calibri" w:hAnsi="Arial" w:cs="Arial"/>
          <w:sz w:val="20"/>
          <w:szCs w:val="20"/>
        </w:rPr>
        <w:t xml:space="preserve">increased </w:t>
      </w:r>
      <w:r w:rsidRPr="00412554">
        <w:rPr>
          <w:rFonts w:ascii="Arial" w:eastAsia="Calibri" w:hAnsi="Arial" w:cs="Arial"/>
          <w:sz w:val="20"/>
          <w:szCs w:val="20"/>
        </w:rPr>
        <w:t xml:space="preserve">will be </w:t>
      </w:r>
      <w:r w:rsidR="00FE4A35">
        <w:rPr>
          <w:rFonts w:ascii="Arial" w:eastAsia="Calibri" w:hAnsi="Arial" w:cs="Arial"/>
          <w:sz w:val="20"/>
          <w:szCs w:val="20"/>
        </w:rPr>
        <w:t>described</w:t>
      </w:r>
      <w:r w:rsidRPr="00412554">
        <w:rPr>
          <w:rFonts w:ascii="Arial" w:eastAsia="Calibri" w:hAnsi="Arial" w:cs="Arial"/>
          <w:sz w:val="20"/>
          <w:szCs w:val="20"/>
        </w:rPr>
        <w:t xml:space="preserve">, and if appropriate, characterized by dose-response analyses. We also will outline briefly the regulatory and decision-making implications of all findings. </w:t>
      </w:r>
      <w:r w:rsidR="00D511E7">
        <w:rPr>
          <w:rFonts w:ascii="Arial" w:eastAsia="Calibri" w:hAnsi="Arial" w:cs="Arial"/>
          <w:sz w:val="20"/>
          <w:szCs w:val="20"/>
        </w:rPr>
        <w:t xml:space="preserve">All aspects of the systematic review will be documented in a final </w:t>
      </w:r>
      <w:r w:rsidR="00AF70F2">
        <w:rPr>
          <w:rFonts w:ascii="Arial" w:eastAsia="Calibri" w:hAnsi="Arial" w:cs="Arial"/>
          <w:sz w:val="20"/>
          <w:szCs w:val="20"/>
        </w:rPr>
        <w:t>report, which</w:t>
      </w:r>
      <w:r w:rsidR="00D511E7">
        <w:rPr>
          <w:rFonts w:ascii="Arial" w:eastAsia="Calibri" w:hAnsi="Arial" w:cs="Arial"/>
          <w:sz w:val="20"/>
          <w:szCs w:val="20"/>
        </w:rPr>
        <w:t xml:space="preserve"> will be structured as a manuscript to be submitted for publication. </w:t>
      </w:r>
    </w:p>
    <w:p w14:paraId="1133DA99" w14:textId="5455DC38" w:rsidR="002628A6" w:rsidRDefault="002628A6" w:rsidP="007A2FFA">
      <w:pPr>
        <w:spacing w:after="180" w:line="240" w:lineRule="atLeast"/>
        <w:ind w:left="720"/>
        <w:jc w:val="center"/>
        <w:rPr>
          <w:rFonts w:ascii="Arial" w:eastAsia="Calibri" w:hAnsi="Arial" w:cs="Arial"/>
          <w:sz w:val="20"/>
          <w:szCs w:val="20"/>
        </w:rPr>
      </w:pPr>
      <w:r>
        <w:rPr>
          <w:rFonts w:ascii="Arial" w:eastAsia="Calibri" w:hAnsi="Arial" w:cs="Arial"/>
          <w:noProof/>
          <w:sz w:val="20"/>
          <w:szCs w:val="20"/>
        </w:rPr>
        <w:drawing>
          <wp:inline distT="0" distB="0" distL="0" distR="0" wp14:anchorId="7CEE32B9" wp14:editId="41BE2F63">
            <wp:extent cx="5943600" cy="3924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AT_figure-2.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924935"/>
                    </a:xfrm>
                    <a:prstGeom prst="rect">
                      <a:avLst/>
                    </a:prstGeom>
                  </pic:spPr>
                </pic:pic>
              </a:graphicData>
            </a:graphic>
          </wp:inline>
        </w:drawing>
      </w:r>
    </w:p>
    <w:p w14:paraId="0A639956" w14:textId="09836D74" w:rsidR="007A2FFA" w:rsidRPr="002628A6" w:rsidRDefault="002628A6" w:rsidP="002628A6">
      <w:pPr>
        <w:spacing w:after="180" w:line="240" w:lineRule="atLeast"/>
        <w:ind w:left="720" w:firstLine="90"/>
        <w:jc w:val="left"/>
        <w:rPr>
          <w:rFonts w:ascii="Arial" w:eastAsia="Calibri" w:hAnsi="Arial" w:cs="Arial"/>
          <w:b/>
          <w:sz w:val="20"/>
          <w:szCs w:val="20"/>
        </w:rPr>
      </w:pPr>
      <w:r w:rsidRPr="002628A6">
        <w:rPr>
          <w:rFonts w:ascii="Arial" w:eastAsia="Calibri" w:hAnsi="Arial" w:cs="Arial"/>
          <w:b/>
          <w:sz w:val="20"/>
          <w:szCs w:val="20"/>
        </w:rPr>
        <w:t>Figure 1. OHAT Schematic for General P</w:t>
      </w:r>
      <w:r>
        <w:rPr>
          <w:rFonts w:ascii="Arial" w:eastAsia="Calibri" w:hAnsi="Arial" w:cs="Arial"/>
          <w:b/>
          <w:sz w:val="20"/>
          <w:szCs w:val="20"/>
        </w:rPr>
        <w:t>rocess</w:t>
      </w:r>
    </w:p>
    <w:p w14:paraId="1C172946" w14:textId="77777777" w:rsidR="002628A6" w:rsidRPr="002628A6" w:rsidRDefault="002628A6" w:rsidP="001F49D9"/>
    <w:p w14:paraId="3A5C0813" w14:textId="32FDDCD9" w:rsidR="0031618A" w:rsidRPr="0031618A" w:rsidRDefault="00D511E7" w:rsidP="0031618A">
      <w:pPr>
        <w:pStyle w:val="ListParagraph"/>
        <w:keepNext/>
        <w:keepLines/>
        <w:numPr>
          <w:ilvl w:val="1"/>
          <w:numId w:val="1"/>
        </w:numPr>
        <w:spacing w:before="200" w:after="120" w:line="240" w:lineRule="atLeast"/>
        <w:jc w:val="left"/>
        <w:outlineLvl w:val="1"/>
        <w:rPr>
          <w:rFonts w:ascii="Arial" w:eastAsia="MS Gothic" w:hAnsi="Arial" w:cs="Times New Roman"/>
          <w:b/>
          <w:bCs/>
        </w:rPr>
      </w:pPr>
      <w:bookmarkStart w:id="6" w:name="_Toc69210655"/>
      <w:r>
        <w:rPr>
          <w:rFonts w:ascii="Arial" w:eastAsia="MS Gothic" w:hAnsi="Arial" w:cs="Times New Roman"/>
          <w:b/>
          <w:bCs/>
        </w:rPr>
        <w:t xml:space="preserve">Article </w:t>
      </w:r>
      <w:r w:rsidR="00662D9C">
        <w:rPr>
          <w:rFonts w:ascii="Arial" w:eastAsia="MS Gothic" w:hAnsi="Arial" w:cs="Times New Roman"/>
          <w:b/>
          <w:bCs/>
        </w:rPr>
        <w:t>Eligibility Criteria</w:t>
      </w:r>
      <w:bookmarkEnd w:id="6"/>
    </w:p>
    <w:p w14:paraId="10934CAE" w14:textId="77777777" w:rsidR="0031618A" w:rsidRDefault="0031618A" w:rsidP="001F49D9"/>
    <w:p w14:paraId="642B88D9" w14:textId="3095155C" w:rsidR="00986C72" w:rsidRPr="00013369" w:rsidRDefault="00C13FF5" w:rsidP="00013369">
      <w:pPr>
        <w:ind w:left="1440"/>
        <w:rPr>
          <w:rFonts w:ascii="Arial" w:hAnsi="Arial" w:cs="Arial"/>
          <w:sz w:val="20"/>
        </w:rPr>
      </w:pPr>
      <w:bookmarkStart w:id="7" w:name="_Toc68100102"/>
      <w:r w:rsidRPr="00013369">
        <w:rPr>
          <w:rFonts w:ascii="Arial" w:hAnsi="Arial" w:cs="Arial"/>
          <w:sz w:val="20"/>
        </w:rPr>
        <w:t xml:space="preserve">Develop </w:t>
      </w:r>
      <w:r w:rsidRPr="00013369">
        <w:rPr>
          <w:rFonts w:ascii="Arial" w:hAnsi="Arial" w:cs="Arial"/>
          <w:i/>
          <w:sz w:val="20"/>
        </w:rPr>
        <w:t>a priori</w:t>
      </w:r>
      <w:r w:rsidRPr="00013369">
        <w:rPr>
          <w:rFonts w:ascii="Arial" w:hAnsi="Arial" w:cs="Arial"/>
          <w:sz w:val="20"/>
        </w:rPr>
        <w:t xml:space="preserve"> a set of literature inclusion and exclusion criteria to identify the most relevant articles for full review consistent with systematic review principles.</w:t>
      </w:r>
      <w:bookmarkEnd w:id="7"/>
      <w:r w:rsidRPr="00013369">
        <w:rPr>
          <w:rFonts w:ascii="Arial" w:hAnsi="Arial" w:cs="Arial"/>
          <w:sz w:val="20"/>
        </w:rPr>
        <w:t xml:space="preserve"> </w:t>
      </w:r>
    </w:p>
    <w:p w14:paraId="6261295C" w14:textId="3CAF4590" w:rsidR="00BB06F3" w:rsidRDefault="00BB06F3" w:rsidP="001F49D9"/>
    <w:p w14:paraId="2877C006" w14:textId="4D0056DF" w:rsidR="00BB06F3" w:rsidRPr="0046182E" w:rsidRDefault="00BB06F3" w:rsidP="00D66D02">
      <w:pPr>
        <w:spacing w:after="120"/>
        <w:ind w:left="720" w:firstLine="720"/>
        <w:rPr>
          <w:rFonts w:ascii="Arial" w:hAnsi="Arial" w:cs="Arial"/>
          <w:b/>
          <w:sz w:val="20"/>
        </w:rPr>
      </w:pPr>
      <w:r w:rsidRPr="0046182E">
        <w:rPr>
          <w:rFonts w:ascii="Arial" w:hAnsi="Arial" w:cs="Arial"/>
          <w:b/>
          <w:sz w:val="20"/>
        </w:rPr>
        <w:t xml:space="preserve">Table 1 </w:t>
      </w:r>
      <w:r w:rsidR="00DF1738">
        <w:rPr>
          <w:rFonts w:ascii="Arial" w:hAnsi="Arial" w:cs="Arial"/>
          <w:b/>
          <w:sz w:val="20"/>
        </w:rPr>
        <w:t xml:space="preserve">PECO </w:t>
      </w:r>
      <w:r w:rsidR="0068303A">
        <w:rPr>
          <w:rFonts w:ascii="Arial" w:hAnsi="Arial" w:cs="Arial"/>
          <w:b/>
          <w:sz w:val="20"/>
        </w:rPr>
        <w:t xml:space="preserve">/ </w:t>
      </w:r>
      <w:r w:rsidRPr="0046182E">
        <w:rPr>
          <w:rFonts w:ascii="Arial" w:hAnsi="Arial" w:cs="Arial"/>
          <w:b/>
          <w:sz w:val="20"/>
        </w:rPr>
        <w:t>Literature Screening Criter</w:t>
      </w:r>
      <w:r>
        <w:rPr>
          <w:rFonts w:ascii="Arial" w:hAnsi="Arial" w:cs="Arial"/>
          <w:b/>
          <w:sz w:val="20"/>
        </w:rPr>
        <w:t>i</w:t>
      </w:r>
      <w:r w:rsidRPr="0046182E">
        <w:rPr>
          <w:rFonts w:ascii="Arial" w:hAnsi="Arial" w:cs="Arial"/>
          <w:b/>
          <w:sz w:val="20"/>
        </w:rPr>
        <w:t>a</w:t>
      </w:r>
    </w:p>
    <w:tbl>
      <w:tblPr>
        <w:tblStyle w:val="TableGrid"/>
        <w:tblW w:w="8662" w:type="dxa"/>
        <w:tblInd w:w="1525" w:type="dxa"/>
        <w:tblLook w:val="04A0" w:firstRow="1" w:lastRow="0" w:firstColumn="1" w:lastColumn="0" w:noHBand="0" w:noVBand="1"/>
      </w:tblPr>
      <w:tblGrid>
        <w:gridCol w:w="1408"/>
        <w:gridCol w:w="4045"/>
        <w:gridCol w:w="3209"/>
      </w:tblGrid>
      <w:tr w:rsidR="00BB06F3" w:rsidRPr="00727083" w14:paraId="4411BBEB" w14:textId="77777777" w:rsidTr="00D66D02">
        <w:trPr>
          <w:trHeight w:val="444"/>
          <w:tblHeader/>
        </w:trPr>
        <w:tc>
          <w:tcPr>
            <w:tcW w:w="1408" w:type="dxa"/>
          </w:tcPr>
          <w:p w14:paraId="150E657F" w14:textId="77777777" w:rsidR="00BB06F3" w:rsidRPr="00727083" w:rsidRDefault="00BB06F3" w:rsidP="00DE23DF">
            <w:pPr>
              <w:rPr>
                <w:rFonts w:ascii="Arial" w:hAnsi="Arial" w:cs="Arial"/>
                <w:b/>
                <w:sz w:val="20"/>
              </w:rPr>
            </w:pPr>
            <w:r w:rsidRPr="00727083">
              <w:rPr>
                <w:rFonts w:ascii="Arial" w:hAnsi="Arial" w:cs="Arial"/>
                <w:b/>
                <w:sz w:val="20"/>
              </w:rPr>
              <w:t>Evidence Stream</w:t>
            </w:r>
          </w:p>
        </w:tc>
        <w:tc>
          <w:tcPr>
            <w:tcW w:w="4045" w:type="dxa"/>
          </w:tcPr>
          <w:p w14:paraId="64587F45" w14:textId="77777777" w:rsidR="00BB06F3" w:rsidRPr="00727083" w:rsidRDefault="00BB06F3" w:rsidP="00DE23DF">
            <w:pPr>
              <w:rPr>
                <w:rFonts w:ascii="Arial" w:hAnsi="Arial" w:cs="Arial"/>
                <w:b/>
                <w:sz w:val="20"/>
              </w:rPr>
            </w:pPr>
            <w:r w:rsidRPr="00727083">
              <w:rPr>
                <w:rFonts w:ascii="Arial" w:hAnsi="Arial" w:cs="Arial"/>
                <w:b/>
                <w:sz w:val="20"/>
              </w:rPr>
              <w:t>Inclusion Criteria</w:t>
            </w:r>
          </w:p>
        </w:tc>
        <w:tc>
          <w:tcPr>
            <w:tcW w:w="3209" w:type="dxa"/>
          </w:tcPr>
          <w:p w14:paraId="32175482" w14:textId="77777777" w:rsidR="00BB06F3" w:rsidRPr="00727083" w:rsidRDefault="00BB06F3" w:rsidP="00DE23DF">
            <w:pPr>
              <w:rPr>
                <w:rFonts w:ascii="Arial" w:hAnsi="Arial" w:cs="Arial"/>
                <w:b/>
                <w:sz w:val="20"/>
              </w:rPr>
            </w:pPr>
            <w:r w:rsidRPr="00727083">
              <w:rPr>
                <w:rFonts w:ascii="Arial" w:hAnsi="Arial" w:cs="Arial"/>
                <w:b/>
                <w:sz w:val="20"/>
              </w:rPr>
              <w:t>Exclusion Criteria</w:t>
            </w:r>
          </w:p>
        </w:tc>
      </w:tr>
      <w:tr w:rsidR="00BB06F3" w:rsidRPr="00727083" w14:paraId="241177B7" w14:textId="77777777" w:rsidTr="00E044A7">
        <w:trPr>
          <w:trHeight w:val="692"/>
        </w:trPr>
        <w:tc>
          <w:tcPr>
            <w:tcW w:w="1408" w:type="dxa"/>
          </w:tcPr>
          <w:p w14:paraId="77630527" w14:textId="77777777" w:rsidR="00BB06F3" w:rsidRPr="00727083" w:rsidRDefault="00BB06F3" w:rsidP="00DE23DF">
            <w:pPr>
              <w:rPr>
                <w:rFonts w:ascii="Arial" w:hAnsi="Arial" w:cs="Arial"/>
                <w:sz w:val="20"/>
              </w:rPr>
            </w:pPr>
            <w:r w:rsidRPr="00727083">
              <w:rPr>
                <w:rFonts w:ascii="Arial" w:hAnsi="Arial" w:cs="Arial"/>
                <w:sz w:val="20"/>
              </w:rPr>
              <w:t>Human</w:t>
            </w:r>
          </w:p>
        </w:tc>
        <w:tc>
          <w:tcPr>
            <w:tcW w:w="4045" w:type="dxa"/>
          </w:tcPr>
          <w:p w14:paraId="2CC9A0C1" w14:textId="6BFF4266" w:rsidR="00BB06F3" w:rsidRDefault="00E044A7" w:rsidP="00BB06F3">
            <w:pPr>
              <w:pStyle w:val="ListParagraph"/>
              <w:numPr>
                <w:ilvl w:val="0"/>
                <w:numId w:val="2"/>
              </w:numPr>
              <w:jc w:val="left"/>
              <w:rPr>
                <w:rFonts w:ascii="Arial" w:hAnsi="Arial" w:cs="Arial"/>
                <w:sz w:val="20"/>
              </w:rPr>
            </w:pPr>
            <w:r>
              <w:rPr>
                <w:rFonts w:ascii="Arial" w:hAnsi="Arial" w:cs="Arial"/>
                <w:sz w:val="20"/>
              </w:rPr>
              <w:t>Population: Human</w:t>
            </w:r>
            <w:r w:rsidR="00B15507">
              <w:rPr>
                <w:rFonts w:ascii="Arial" w:hAnsi="Arial" w:cs="Arial"/>
                <w:sz w:val="20"/>
              </w:rPr>
              <w:t xml:space="preserve"> epidemiological study including case-control and cohort.</w:t>
            </w:r>
          </w:p>
          <w:p w14:paraId="4E28E20E" w14:textId="429CE48A" w:rsidR="00BB06F3" w:rsidRDefault="00E044A7" w:rsidP="00BB06F3">
            <w:pPr>
              <w:pStyle w:val="ListParagraph"/>
              <w:numPr>
                <w:ilvl w:val="0"/>
                <w:numId w:val="2"/>
              </w:numPr>
              <w:jc w:val="left"/>
              <w:rPr>
                <w:rFonts w:ascii="Arial" w:hAnsi="Arial" w:cs="Arial"/>
                <w:sz w:val="20"/>
              </w:rPr>
            </w:pPr>
            <w:r>
              <w:rPr>
                <w:rFonts w:ascii="Arial" w:hAnsi="Arial" w:cs="Arial"/>
                <w:sz w:val="20"/>
              </w:rPr>
              <w:t xml:space="preserve">Exposure: </w:t>
            </w:r>
            <w:r w:rsidR="00BB06F3">
              <w:rPr>
                <w:rFonts w:ascii="Arial" w:hAnsi="Arial" w:cs="Arial"/>
                <w:sz w:val="20"/>
              </w:rPr>
              <w:t>talc specifically and/or asbestos in talc</w:t>
            </w:r>
            <w:r>
              <w:rPr>
                <w:rFonts w:ascii="Arial" w:hAnsi="Arial" w:cs="Arial"/>
                <w:sz w:val="20"/>
              </w:rPr>
              <w:t xml:space="preserve"> at any level/concentration; inhalation </w:t>
            </w:r>
            <w:r>
              <w:rPr>
                <w:rFonts w:ascii="Arial" w:hAnsi="Arial" w:cs="Arial"/>
                <w:sz w:val="20"/>
              </w:rPr>
              <w:lastRenderedPageBreak/>
              <w:t>exp</w:t>
            </w:r>
            <w:r w:rsidR="005B56C5">
              <w:rPr>
                <w:rFonts w:ascii="Arial" w:hAnsi="Arial" w:cs="Arial"/>
                <w:sz w:val="20"/>
              </w:rPr>
              <w:t>o</w:t>
            </w:r>
            <w:r>
              <w:rPr>
                <w:rFonts w:ascii="Arial" w:hAnsi="Arial" w:cs="Arial"/>
                <w:sz w:val="20"/>
              </w:rPr>
              <w:t>sure</w:t>
            </w:r>
            <w:r w:rsidR="00395E5E">
              <w:rPr>
                <w:rFonts w:ascii="Arial" w:hAnsi="Arial" w:cs="Arial"/>
                <w:sz w:val="20"/>
              </w:rPr>
              <w:t xml:space="preserve"> or via migration through the external genital tract</w:t>
            </w:r>
            <w:r>
              <w:rPr>
                <w:rFonts w:ascii="Arial" w:hAnsi="Arial" w:cs="Arial"/>
                <w:sz w:val="20"/>
              </w:rPr>
              <w:t>; chronic duration</w:t>
            </w:r>
          </w:p>
          <w:p w14:paraId="274E3090" w14:textId="288B9032" w:rsidR="00BB06F3" w:rsidRDefault="00E044A7" w:rsidP="00E044A7">
            <w:pPr>
              <w:pStyle w:val="ListParagraph"/>
              <w:numPr>
                <w:ilvl w:val="0"/>
                <w:numId w:val="2"/>
              </w:numPr>
              <w:jc w:val="left"/>
              <w:rPr>
                <w:rFonts w:ascii="Arial" w:hAnsi="Arial" w:cs="Arial"/>
                <w:sz w:val="20"/>
              </w:rPr>
            </w:pPr>
            <w:r>
              <w:rPr>
                <w:rFonts w:ascii="Arial" w:hAnsi="Arial" w:cs="Arial"/>
                <w:sz w:val="20"/>
              </w:rPr>
              <w:t>Outcome: An</w:t>
            </w:r>
            <w:r w:rsidR="002A75C1">
              <w:rPr>
                <w:rFonts w:ascii="Arial" w:hAnsi="Arial" w:cs="Arial"/>
                <w:sz w:val="20"/>
              </w:rPr>
              <w:t xml:space="preserve">y </w:t>
            </w:r>
            <w:r w:rsidR="000255A0">
              <w:rPr>
                <w:rFonts w:ascii="Arial" w:hAnsi="Arial" w:cs="Arial"/>
                <w:sz w:val="20"/>
              </w:rPr>
              <w:t>reproductive cancer including</w:t>
            </w:r>
            <w:r w:rsidR="00D66D02">
              <w:rPr>
                <w:rFonts w:ascii="Arial" w:hAnsi="Arial" w:cs="Arial"/>
                <w:sz w:val="20"/>
              </w:rPr>
              <w:t xml:space="preserve"> </w:t>
            </w:r>
            <w:r w:rsidR="006E67BF">
              <w:rPr>
                <w:rFonts w:ascii="Arial" w:hAnsi="Arial" w:cs="Arial"/>
                <w:sz w:val="20"/>
              </w:rPr>
              <w:t>ovarian, endometrial, or cervical.</w:t>
            </w:r>
          </w:p>
          <w:p w14:paraId="11751A0A" w14:textId="4904DBBF" w:rsidR="00E044A7" w:rsidRPr="00727083" w:rsidRDefault="00E044A7" w:rsidP="00E044A7">
            <w:pPr>
              <w:pStyle w:val="ListParagraph"/>
              <w:numPr>
                <w:ilvl w:val="0"/>
                <w:numId w:val="2"/>
              </w:numPr>
              <w:jc w:val="left"/>
              <w:rPr>
                <w:rFonts w:ascii="Arial" w:hAnsi="Arial" w:cs="Arial"/>
                <w:sz w:val="20"/>
              </w:rPr>
            </w:pPr>
            <w:r>
              <w:rPr>
                <w:rFonts w:ascii="Arial" w:hAnsi="Arial" w:cs="Arial"/>
                <w:sz w:val="20"/>
              </w:rPr>
              <w:t xml:space="preserve">Comparator: Unexposed or less-exposed human populations </w:t>
            </w:r>
          </w:p>
        </w:tc>
        <w:tc>
          <w:tcPr>
            <w:tcW w:w="3209" w:type="dxa"/>
          </w:tcPr>
          <w:p w14:paraId="5474BB23" w14:textId="23931109" w:rsidR="00BB06F3" w:rsidRDefault="007A2FFA" w:rsidP="00BB06F3">
            <w:pPr>
              <w:pStyle w:val="ListParagraph"/>
              <w:numPr>
                <w:ilvl w:val="0"/>
                <w:numId w:val="2"/>
              </w:numPr>
              <w:jc w:val="left"/>
              <w:rPr>
                <w:rFonts w:ascii="Arial" w:hAnsi="Arial" w:cs="Arial"/>
                <w:sz w:val="20"/>
              </w:rPr>
            </w:pPr>
            <w:r>
              <w:rPr>
                <w:rFonts w:ascii="Arial" w:hAnsi="Arial" w:cs="Arial"/>
                <w:sz w:val="20"/>
              </w:rPr>
              <w:lastRenderedPageBreak/>
              <w:t>Oral and dermal studies</w:t>
            </w:r>
          </w:p>
          <w:p w14:paraId="5C014F53" w14:textId="53933EB7" w:rsidR="00E044A7" w:rsidRDefault="00E044A7" w:rsidP="00BB06F3">
            <w:pPr>
              <w:pStyle w:val="ListParagraph"/>
              <w:numPr>
                <w:ilvl w:val="0"/>
                <w:numId w:val="2"/>
              </w:numPr>
              <w:jc w:val="left"/>
              <w:rPr>
                <w:rFonts w:ascii="Arial" w:hAnsi="Arial" w:cs="Arial"/>
                <w:sz w:val="20"/>
              </w:rPr>
            </w:pPr>
            <w:r>
              <w:rPr>
                <w:rFonts w:ascii="Arial" w:hAnsi="Arial" w:cs="Arial"/>
                <w:sz w:val="20"/>
              </w:rPr>
              <w:t>Substances other than talc</w:t>
            </w:r>
            <w:r w:rsidR="00B62C19">
              <w:rPr>
                <w:rFonts w:ascii="Arial" w:hAnsi="Arial" w:cs="Arial"/>
                <w:sz w:val="20"/>
              </w:rPr>
              <w:t xml:space="preserve"> or asbestos only studies</w:t>
            </w:r>
          </w:p>
          <w:p w14:paraId="4B1B77FB" w14:textId="0B62DEE3" w:rsidR="00E044A7" w:rsidRDefault="00E044A7" w:rsidP="00BB06F3">
            <w:pPr>
              <w:pStyle w:val="ListParagraph"/>
              <w:numPr>
                <w:ilvl w:val="0"/>
                <w:numId w:val="2"/>
              </w:numPr>
              <w:jc w:val="left"/>
              <w:rPr>
                <w:rFonts w:ascii="Arial" w:hAnsi="Arial" w:cs="Arial"/>
                <w:sz w:val="20"/>
              </w:rPr>
            </w:pPr>
            <w:r>
              <w:rPr>
                <w:rFonts w:ascii="Arial" w:hAnsi="Arial" w:cs="Arial"/>
                <w:sz w:val="20"/>
              </w:rPr>
              <w:t xml:space="preserve">Mixture studies (e.g., co-exposures to talc and </w:t>
            </w:r>
            <w:r>
              <w:rPr>
                <w:rFonts w:ascii="Arial" w:hAnsi="Arial" w:cs="Arial"/>
                <w:sz w:val="20"/>
              </w:rPr>
              <w:lastRenderedPageBreak/>
              <w:t>asbestos mixtures in industrial applications)</w:t>
            </w:r>
          </w:p>
          <w:p w14:paraId="19A812C7" w14:textId="08DD7B2D" w:rsidR="00CA3713" w:rsidRDefault="00CA3713" w:rsidP="00BB06F3">
            <w:pPr>
              <w:pStyle w:val="ListParagraph"/>
              <w:numPr>
                <w:ilvl w:val="0"/>
                <w:numId w:val="2"/>
              </w:numPr>
              <w:jc w:val="left"/>
              <w:rPr>
                <w:rFonts w:ascii="Arial" w:hAnsi="Arial" w:cs="Arial"/>
                <w:sz w:val="20"/>
              </w:rPr>
            </w:pPr>
            <w:r>
              <w:rPr>
                <w:rFonts w:ascii="Arial" w:hAnsi="Arial" w:cs="Arial"/>
                <w:sz w:val="20"/>
              </w:rPr>
              <w:t>Talc studies related to mesothelioma treatments (</w:t>
            </w:r>
            <w:proofErr w:type="gramStart"/>
            <w:r>
              <w:rPr>
                <w:rFonts w:ascii="Arial" w:hAnsi="Arial" w:cs="Arial"/>
                <w:sz w:val="20"/>
              </w:rPr>
              <w:t>e.g.</w:t>
            </w:r>
            <w:proofErr w:type="gramEnd"/>
            <w:r>
              <w:rPr>
                <w:rFonts w:ascii="Arial" w:hAnsi="Arial" w:cs="Arial"/>
                <w:sz w:val="20"/>
              </w:rPr>
              <w:t xml:space="preserve"> pleurodesis)</w:t>
            </w:r>
          </w:p>
          <w:p w14:paraId="4B027579" w14:textId="7C07511B" w:rsidR="00E044A7" w:rsidRDefault="00E044A7" w:rsidP="00BB06F3">
            <w:pPr>
              <w:pStyle w:val="ListParagraph"/>
              <w:numPr>
                <w:ilvl w:val="0"/>
                <w:numId w:val="2"/>
              </w:numPr>
              <w:jc w:val="left"/>
              <w:rPr>
                <w:rFonts w:ascii="Arial" w:hAnsi="Arial" w:cs="Arial"/>
                <w:sz w:val="20"/>
              </w:rPr>
            </w:pPr>
            <w:r>
              <w:rPr>
                <w:rFonts w:ascii="Arial" w:hAnsi="Arial" w:cs="Arial"/>
                <w:sz w:val="20"/>
              </w:rPr>
              <w:t xml:space="preserve">Exposure not clearly </w:t>
            </w:r>
            <w:proofErr w:type="gramStart"/>
            <w:r>
              <w:rPr>
                <w:rFonts w:ascii="Arial" w:hAnsi="Arial" w:cs="Arial"/>
                <w:sz w:val="20"/>
              </w:rPr>
              <w:t>specified</w:t>
            </w:r>
            <w:proofErr w:type="gramEnd"/>
            <w:r>
              <w:rPr>
                <w:rFonts w:ascii="Arial" w:hAnsi="Arial" w:cs="Arial"/>
                <w:sz w:val="20"/>
              </w:rPr>
              <w:t xml:space="preserve"> </w:t>
            </w:r>
          </w:p>
          <w:p w14:paraId="3FBF7052" w14:textId="238CF96D" w:rsidR="00B62C19" w:rsidRDefault="00B62C19" w:rsidP="00BB06F3">
            <w:pPr>
              <w:pStyle w:val="ListParagraph"/>
              <w:numPr>
                <w:ilvl w:val="0"/>
                <w:numId w:val="2"/>
              </w:numPr>
              <w:jc w:val="left"/>
              <w:rPr>
                <w:rFonts w:ascii="Arial" w:hAnsi="Arial" w:cs="Arial"/>
                <w:sz w:val="20"/>
              </w:rPr>
            </w:pPr>
            <w:r>
              <w:rPr>
                <w:rFonts w:ascii="Arial" w:hAnsi="Arial" w:cs="Arial"/>
                <w:sz w:val="20"/>
              </w:rPr>
              <w:t>Non-English articles</w:t>
            </w:r>
          </w:p>
          <w:p w14:paraId="72498D48" w14:textId="22668DD5" w:rsidR="0090292D" w:rsidRDefault="0090292D" w:rsidP="00BB06F3">
            <w:pPr>
              <w:pStyle w:val="ListParagraph"/>
              <w:numPr>
                <w:ilvl w:val="0"/>
                <w:numId w:val="2"/>
              </w:numPr>
              <w:jc w:val="left"/>
              <w:rPr>
                <w:rFonts w:ascii="Arial" w:hAnsi="Arial" w:cs="Arial"/>
                <w:sz w:val="20"/>
              </w:rPr>
            </w:pPr>
            <w:r>
              <w:rPr>
                <w:rFonts w:ascii="Arial" w:hAnsi="Arial" w:cs="Arial"/>
                <w:sz w:val="20"/>
              </w:rPr>
              <w:t>Registry-based studies</w:t>
            </w:r>
          </w:p>
          <w:p w14:paraId="535BE0D8" w14:textId="01DD02F2" w:rsidR="0090292D" w:rsidRDefault="0090292D" w:rsidP="00BB06F3">
            <w:pPr>
              <w:pStyle w:val="ListParagraph"/>
              <w:numPr>
                <w:ilvl w:val="0"/>
                <w:numId w:val="2"/>
              </w:numPr>
              <w:jc w:val="left"/>
              <w:rPr>
                <w:rFonts w:ascii="Arial" w:hAnsi="Arial" w:cs="Arial"/>
                <w:sz w:val="20"/>
              </w:rPr>
            </w:pPr>
            <w:r>
              <w:rPr>
                <w:rFonts w:ascii="Arial" w:hAnsi="Arial" w:cs="Arial"/>
                <w:sz w:val="20"/>
              </w:rPr>
              <w:t>Case reports/case series</w:t>
            </w:r>
          </w:p>
          <w:p w14:paraId="1D3C0ED3" w14:textId="77777777" w:rsidR="00BB06F3" w:rsidRPr="00C47205" w:rsidRDefault="00BB06F3" w:rsidP="00DE23DF">
            <w:pPr>
              <w:ind w:left="360"/>
              <w:rPr>
                <w:rFonts w:ascii="Arial" w:hAnsi="Arial" w:cs="Arial"/>
                <w:sz w:val="20"/>
              </w:rPr>
            </w:pPr>
          </w:p>
        </w:tc>
      </w:tr>
      <w:tr w:rsidR="00BB06F3" w:rsidRPr="00727083" w14:paraId="4ACCCF20" w14:textId="77777777" w:rsidTr="00BB06F3">
        <w:trPr>
          <w:trHeight w:val="2618"/>
        </w:trPr>
        <w:tc>
          <w:tcPr>
            <w:tcW w:w="1408" w:type="dxa"/>
          </w:tcPr>
          <w:p w14:paraId="4D2A70C3" w14:textId="77777777" w:rsidR="00BB06F3" w:rsidRPr="00727083" w:rsidRDefault="00BB06F3" w:rsidP="00DE23DF">
            <w:pPr>
              <w:rPr>
                <w:rFonts w:ascii="Arial" w:hAnsi="Arial" w:cs="Arial"/>
                <w:sz w:val="20"/>
              </w:rPr>
            </w:pPr>
            <w:r w:rsidRPr="00727083">
              <w:rPr>
                <w:rFonts w:ascii="Arial" w:hAnsi="Arial" w:cs="Arial"/>
                <w:sz w:val="20"/>
              </w:rPr>
              <w:lastRenderedPageBreak/>
              <w:t>Animal</w:t>
            </w:r>
          </w:p>
        </w:tc>
        <w:tc>
          <w:tcPr>
            <w:tcW w:w="4045" w:type="dxa"/>
          </w:tcPr>
          <w:p w14:paraId="7B3358FA" w14:textId="48DF6F27" w:rsidR="002A75C1" w:rsidRPr="002A75C1" w:rsidRDefault="002A75C1" w:rsidP="002A75C1">
            <w:pPr>
              <w:pStyle w:val="ListParagraph"/>
              <w:numPr>
                <w:ilvl w:val="0"/>
                <w:numId w:val="4"/>
              </w:numPr>
              <w:jc w:val="left"/>
              <w:rPr>
                <w:rFonts w:ascii="Arial" w:hAnsi="Arial" w:cs="Arial"/>
                <w:sz w:val="20"/>
              </w:rPr>
            </w:pPr>
            <w:r>
              <w:rPr>
                <w:rFonts w:ascii="Arial" w:hAnsi="Arial" w:cs="Arial"/>
                <w:sz w:val="20"/>
              </w:rPr>
              <w:t>Population: Any mammalian species/strain</w:t>
            </w:r>
          </w:p>
          <w:p w14:paraId="7034B50A" w14:textId="01891033" w:rsidR="00BB06F3" w:rsidRDefault="002A75C1" w:rsidP="00FD314A">
            <w:pPr>
              <w:pStyle w:val="ListParagraph"/>
              <w:numPr>
                <w:ilvl w:val="0"/>
                <w:numId w:val="4"/>
              </w:numPr>
              <w:jc w:val="left"/>
              <w:rPr>
                <w:rFonts w:ascii="Arial" w:hAnsi="Arial" w:cs="Arial"/>
                <w:sz w:val="20"/>
              </w:rPr>
            </w:pPr>
            <w:r>
              <w:rPr>
                <w:rFonts w:ascii="Arial" w:hAnsi="Arial" w:cs="Arial"/>
                <w:sz w:val="20"/>
              </w:rPr>
              <w:t>Exposure: All e</w:t>
            </w:r>
            <w:r w:rsidR="00BB06F3">
              <w:rPr>
                <w:rFonts w:ascii="Arial" w:hAnsi="Arial" w:cs="Arial"/>
                <w:sz w:val="20"/>
              </w:rPr>
              <w:t xml:space="preserve">xperimental animal studies with </w:t>
            </w:r>
            <w:r>
              <w:rPr>
                <w:rFonts w:ascii="Arial" w:hAnsi="Arial" w:cs="Arial"/>
                <w:sz w:val="20"/>
              </w:rPr>
              <w:t xml:space="preserve">any level of </w:t>
            </w:r>
            <w:r w:rsidR="00BB06F3">
              <w:rPr>
                <w:rFonts w:ascii="Arial" w:hAnsi="Arial" w:cs="Arial"/>
                <w:sz w:val="20"/>
              </w:rPr>
              <w:t>controlled administration of talc via</w:t>
            </w:r>
            <w:r w:rsidR="00FD314A">
              <w:rPr>
                <w:rFonts w:ascii="Arial" w:hAnsi="Arial" w:cs="Arial"/>
                <w:sz w:val="20"/>
              </w:rPr>
              <w:t xml:space="preserve"> the</w:t>
            </w:r>
            <w:r w:rsidR="00BB06F3">
              <w:rPr>
                <w:rFonts w:ascii="Arial" w:hAnsi="Arial" w:cs="Arial"/>
                <w:sz w:val="20"/>
              </w:rPr>
              <w:t xml:space="preserve"> inhalation</w:t>
            </w:r>
            <w:r w:rsidR="00FD314A">
              <w:rPr>
                <w:rFonts w:ascii="Arial" w:hAnsi="Arial" w:cs="Arial"/>
                <w:sz w:val="20"/>
              </w:rPr>
              <w:t xml:space="preserve">, </w:t>
            </w:r>
            <w:r w:rsidR="00FD314A" w:rsidRPr="00FD314A">
              <w:rPr>
                <w:rFonts w:ascii="Arial" w:hAnsi="Arial" w:cs="Arial"/>
                <w:sz w:val="20"/>
              </w:rPr>
              <w:t xml:space="preserve">intravaginal </w:t>
            </w:r>
            <w:r w:rsidR="00BB06F3">
              <w:rPr>
                <w:rFonts w:ascii="Arial" w:hAnsi="Arial" w:cs="Arial"/>
                <w:sz w:val="20"/>
              </w:rPr>
              <w:t>exposure route</w:t>
            </w:r>
            <w:r w:rsidR="00FD314A">
              <w:rPr>
                <w:rFonts w:ascii="Arial" w:hAnsi="Arial" w:cs="Arial"/>
                <w:sz w:val="20"/>
              </w:rPr>
              <w:t>s</w:t>
            </w:r>
            <w:r>
              <w:rPr>
                <w:rFonts w:ascii="Arial" w:hAnsi="Arial" w:cs="Arial"/>
                <w:sz w:val="20"/>
              </w:rPr>
              <w:t>; chronic duration</w:t>
            </w:r>
          </w:p>
          <w:p w14:paraId="7D759241" w14:textId="56ABF558" w:rsidR="002A75C1" w:rsidRDefault="002A75C1" w:rsidP="00BB06F3">
            <w:pPr>
              <w:pStyle w:val="ListParagraph"/>
              <w:numPr>
                <w:ilvl w:val="0"/>
                <w:numId w:val="4"/>
              </w:numPr>
              <w:jc w:val="left"/>
              <w:rPr>
                <w:rFonts w:ascii="Arial" w:hAnsi="Arial" w:cs="Arial"/>
                <w:sz w:val="20"/>
              </w:rPr>
            </w:pPr>
            <w:r>
              <w:rPr>
                <w:rFonts w:ascii="Arial" w:hAnsi="Arial" w:cs="Arial"/>
                <w:sz w:val="20"/>
              </w:rPr>
              <w:t>Comparator: Unexposed animals</w:t>
            </w:r>
          </w:p>
          <w:p w14:paraId="3112366C" w14:textId="69A522C0" w:rsidR="00BB06F3" w:rsidRPr="0046182E" w:rsidRDefault="002A75C1" w:rsidP="002A75C1">
            <w:pPr>
              <w:pStyle w:val="ListParagraph"/>
              <w:numPr>
                <w:ilvl w:val="0"/>
                <w:numId w:val="4"/>
              </w:numPr>
              <w:jc w:val="left"/>
              <w:rPr>
                <w:rFonts w:ascii="Arial" w:hAnsi="Arial" w:cs="Arial"/>
                <w:sz w:val="20"/>
              </w:rPr>
            </w:pPr>
            <w:r>
              <w:rPr>
                <w:rFonts w:ascii="Arial" w:hAnsi="Arial" w:cs="Arial"/>
                <w:sz w:val="20"/>
              </w:rPr>
              <w:t>Outcomes:  Any carcinogenic or chronic effects (e.g., pre-neoplastic changes)</w:t>
            </w:r>
          </w:p>
        </w:tc>
        <w:tc>
          <w:tcPr>
            <w:tcW w:w="3209" w:type="dxa"/>
          </w:tcPr>
          <w:p w14:paraId="43D55EA3" w14:textId="3B482FD6" w:rsidR="00BB06F3" w:rsidRPr="00BB06F3" w:rsidRDefault="00BB06F3" w:rsidP="00BB06F3">
            <w:pPr>
              <w:pStyle w:val="ListParagraph"/>
              <w:numPr>
                <w:ilvl w:val="0"/>
                <w:numId w:val="3"/>
              </w:numPr>
              <w:jc w:val="left"/>
              <w:rPr>
                <w:rFonts w:ascii="Arial" w:hAnsi="Arial" w:cs="Arial"/>
                <w:sz w:val="20"/>
              </w:rPr>
            </w:pPr>
            <w:r>
              <w:rPr>
                <w:rFonts w:ascii="Arial" w:hAnsi="Arial" w:cs="Arial"/>
                <w:sz w:val="20"/>
              </w:rPr>
              <w:t>Ecotoxicity studies</w:t>
            </w:r>
          </w:p>
          <w:p w14:paraId="0475F419" w14:textId="7FD4F599" w:rsidR="00BB06F3" w:rsidRDefault="00BB06F3" w:rsidP="00BB06F3">
            <w:pPr>
              <w:pStyle w:val="ListParagraph"/>
              <w:numPr>
                <w:ilvl w:val="0"/>
                <w:numId w:val="3"/>
              </w:numPr>
              <w:jc w:val="left"/>
              <w:rPr>
                <w:rFonts w:ascii="Arial" w:hAnsi="Arial" w:cs="Arial"/>
                <w:sz w:val="20"/>
              </w:rPr>
            </w:pPr>
            <w:r>
              <w:rPr>
                <w:rFonts w:ascii="Arial" w:hAnsi="Arial" w:cs="Arial"/>
                <w:sz w:val="20"/>
              </w:rPr>
              <w:t>Non-mammalian species (e.g., chicken</w:t>
            </w:r>
            <w:r w:rsidR="002A75C1">
              <w:rPr>
                <w:rFonts w:ascii="Arial" w:hAnsi="Arial" w:cs="Arial"/>
                <w:sz w:val="20"/>
              </w:rPr>
              <w:t>, zebrafish</w:t>
            </w:r>
            <w:r>
              <w:rPr>
                <w:rFonts w:ascii="Arial" w:hAnsi="Arial" w:cs="Arial"/>
                <w:sz w:val="20"/>
              </w:rPr>
              <w:t>)</w:t>
            </w:r>
          </w:p>
          <w:p w14:paraId="3C222399" w14:textId="55717B0B" w:rsidR="00BB06F3" w:rsidRPr="00FD314A" w:rsidRDefault="00BB06F3" w:rsidP="00BB06F3">
            <w:pPr>
              <w:pStyle w:val="ListParagraph"/>
              <w:numPr>
                <w:ilvl w:val="0"/>
                <w:numId w:val="3"/>
              </w:numPr>
              <w:jc w:val="left"/>
              <w:rPr>
                <w:rFonts w:ascii="Arial" w:hAnsi="Arial" w:cs="Arial"/>
                <w:sz w:val="20"/>
              </w:rPr>
            </w:pPr>
            <w:r w:rsidRPr="00FD314A">
              <w:rPr>
                <w:rFonts w:ascii="Arial" w:hAnsi="Arial" w:cs="Arial"/>
                <w:sz w:val="20"/>
              </w:rPr>
              <w:t xml:space="preserve">Chemical mixture studies  </w:t>
            </w:r>
          </w:p>
          <w:p w14:paraId="014B5F86" w14:textId="77777777" w:rsidR="00BB06F3" w:rsidRDefault="00BB06F3" w:rsidP="00BB06F3">
            <w:pPr>
              <w:pStyle w:val="ListParagraph"/>
              <w:numPr>
                <w:ilvl w:val="0"/>
                <w:numId w:val="3"/>
              </w:numPr>
              <w:jc w:val="left"/>
              <w:rPr>
                <w:rFonts w:ascii="Arial" w:hAnsi="Arial" w:cs="Arial"/>
                <w:sz w:val="20"/>
              </w:rPr>
            </w:pPr>
            <w:r w:rsidRPr="00FD314A">
              <w:rPr>
                <w:rFonts w:ascii="Arial" w:hAnsi="Arial" w:cs="Arial"/>
                <w:sz w:val="20"/>
              </w:rPr>
              <w:t>Oral</w:t>
            </w:r>
            <w:r>
              <w:rPr>
                <w:rFonts w:ascii="Arial" w:hAnsi="Arial" w:cs="Arial"/>
                <w:sz w:val="20"/>
              </w:rPr>
              <w:t xml:space="preserve">, dermal, </w:t>
            </w:r>
            <w:proofErr w:type="gramStart"/>
            <w:r>
              <w:rPr>
                <w:rFonts w:ascii="Arial" w:hAnsi="Arial" w:cs="Arial"/>
                <w:sz w:val="20"/>
              </w:rPr>
              <w:t>intravenous</w:t>
            </w:r>
            <w:proofErr w:type="gramEnd"/>
            <w:r>
              <w:rPr>
                <w:rFonts w:ascii="Arial" w:hAnsi="Arial" w:cs="Arial"/>
                <w:sz w:val="20"/>
              </w:rPr>
              <w:t xml:space="preserve"> or intraperitoneal exposure studies</w:t>
            </w:r>
          </w:p>
          <w:p w14:paraId="4A10FE53" w14:textId="31F0C96C" w:rsidR="00E044A7" w:rsidRDefault="00E044A7" w:rsidP="00BB06F3">
            <w:pPr>
              <w:pStyle w:val="ListParagraph"/>
              <w:numPr>
                <w:ilvl w:val="0"/>
                <w:numId w:val="3"/>
              </w:numPr>
              <w:jc w:val="left"/>
              <w:rPr>
                <w:rFonts w:ascii="Arial" w:hAnsi="Arial" w:cs="Arial"/>
                <w:sz w:val="20"/>
              </w:rPr>
            </w:pPr>
            <w:r>
              <w:rPr>
                <w:rFonts w:ascii="Arial" w:hAnsi="Arial" w:cs="Arial"/>
                <w:sz w:val="20"/>
              </w:rPr>
              <w:t>Substances other than talc</w:t>
            </w:r>
            <w:r w:rsidR="00B62C19">
              <w:rPr>
                <w:rFonts w:ascii="Arial" w:hAnsi="Arial" w:cs="Arial"/>
                <w:sz w:val="20"/>
              </w:rPr>
              <w:t xml:space="preserve"> or asbestos only studies</w:t>
            </w:r>
          </w:p>
          <w:p w14:paraId="04BC671F" w14:textId="49F70102" w:rsidR="007E08E9" w:rsidRPr="00727083" w:rsidRDefault="007E08E9" w:rsidP="00BB06F3">
            <w:pPr>
              <w:pStyle w:val="ListParagraph"/>
              <w:numPr>
                <w:ilvl w:val="0"/>
                <w:numId w:val="3"/>
              </w:numPr>
              <w:jc w:val="left"/>
              <w:rPr>
                <w:rFonts w:ascii="Arial" w:hAnsi="Arial" w:cs="Arial"/>
                <w:sz w:val="20"/>
              </w:rPr>
            </w:pPr>
            <w:r>
              <w:rPr>
                <w:rFonts w:ascii="Arial" w:hAnsi="Arial" w:cs="Arial"/>
                <w:sz w:val="20"/>
              </w:rPr>
              <w:t>Non-English articles</w:t>
            </w:r>
          </w:p>
        </w:tc>
      </w:tr>
      <w:tr w:rsidR="00BB06F3" w:rsidRPr="00727083" w14:paraId="3A61AD0D" w14:textId="77777777" w:rsidTr="00BB06F3">
        <w:trPr>
          <w:trHeight w:val="2753"/>
        </w:trPr>
        <w:tc>
          <w:tcPr>
            <w:tcW w:w="1408" w:type="dxa"/>
          </w:tcPr>
          <w:p w14:paraId="2E32E7AD" w14:textId="77777777" w:rsidR="00BB06F3" w:rsidRPr="00727083" w:rsidRDefault="00BB06F3" w:rsidP="00BB06F3">
            <w:pPr>
              <w:jc w:val="left"/>
              <w:rPr>
                <w:rFonts w:ascii="Arial" w:hAnsi="Arial" w:cs="Arial"/>
                <w:sz w:val="20"/>
              </w:rPr>
            </w:pPr>
            <w:r>
              <w:rPr>
                <w:rFonts w:ascii="Arial" w:hAnsi="Arial" w:cs="Arial"/>
                <w:sz w:val="20"/>
              </w:rPr>
              <w:t xml:space="preserve">ADME and </w:t>
            </w:r>
            <w:r w:rsidRPr="00727083">
              <w:rPr>
                <w:rFonts w:ascii="Arial" w:hAnsi="Arial" w:cs="Arial"/>
                <w:sz w:val="20"/>
              </w:rPr>
              <w:t>Mechanistic</w:t>
            </w:r>
          </w:p>
        </w:tc>
        <w:tc>
          <w:tcPr>
            <w:tcW w:w="4045" w:type="dxa"/>
          </w:tcPr>
          <w:p w14:paraId="578D5163" w14:textId="24C772D6" w:rsidR="00DF1738" w:rsidRPr="0068303A" w:rsidRDefault="00DF1738" w:rsidP="0068303A">
            <w:pPr>
              <w:pStyle w:val="ListParagraph"/>
              <w:numPr>
                <w:ilvl w:val="0"/>
                <w:numId w:val="5"/>
              </w:numPr>
              <w:jc w:val="left"/>
              <w:rPr>
                <w:rFonts w:ascii="Arial" w:hAnsi="Arial" w:cs="Arial"/>
                <w:sz w:val="20"/>
              </w:rPr>
            </w:pPr>
            <w:r>
              <w:rPr>
                <w:rFonts w:ascii="Arial" w:hAnsi="Arial" w:cs="Arial"/>
                <w:sz w:val="20"/>
              </w:rPr>
              <w:t>Population:  any human</w:t>
            </w:r>
            <w:r w:rsidR="00675D9C">
              <w:rPr>
                <w:rFonts w:ascii="Arial" w:hAnsi="Arial" w:cs="Arial"/>
                <w:sz w:val="20"/>
              </w:rPr>
              <w:t>, other mammalian</w:t>
            </w:r>
            <w:r w:rsidR="008E2B16">
              <w:rPr>
                <w:rFonts w:ascii="Arial" w:hAnsi="Arial" w:cs="Arial"/>
                <w:sz w:val="20"/>
              </w:rPr>
              <w:t xml:space="preserve"> species</w:t>
            </w:r>
            <w:r w:rsidR="00675D9C">
              <w:rPr>
                <w:rFonts w:ascii="Arial" w:hAnsi="Arial" w:cs="Arial"/>
                <w:sz w:val="20"/>
              </w:rPr>
              <w:t>,</w:t>
            </w:r>
            <w:r>
              <w:rPr>
                <w:rFonts w:ascii="Arial" w:hAnsi="Arial" w:cs="Arial"/>
                <w:sz w:val="20"/>
              </w:rPr>
              <w:t xml:space="preserve"> </w:t>
            </w:r>
            <w:r w:rsidR="008E2B16">
              <w:rPr>
                <w:rFonts w:ascii="Arial" w:hAnsi="Arial" w:cs="Arial"/>
                <w:sz w:val="20"/>
              </w:rPr>
              <w:t>or bacterial</w:t>
            </w:r>
            <w:r w:rsidR="0068303A">
              <w:rPr>
                <w:rFonts w:ascii="Arial" w:hAnsi="Arial" w:cs="Arial"/>
                <w:sz w:val="20"/>
              </w:rPr>
              <w:t xml:space="preserve"> (</w:t>
            </w:r>
            <w:r w:rsidR="0068303A" w:rsidRPr="00052C3D">
              <w:rPr>
                <w:rFonts w:ascii="Arial" w:hAnsi="Arial" w:cs="Arial"/>
                <w:i/>
                <w:sz w:val="20"/>
              </w:rPr>
              <w:t>In vivo</w:t>
            </w:r>
            <w:r w:rsidR="0068303A">
              <w:rPr>
                <w:rFonts w:ascii="Arial" w:hAnsi="Arial" w:cs="Arial"/>
                <w:sz w:val="20"/>
              </w:rPr>
              <w:t xml:space="preserve"> and </w:t>
            </w:r>
            <w:r w:rsidR="0068303A" w:rsidRPr="00052C3D">
              <w:rPr>
                <w:rFonts w:ascii="Arial" w:hAnsi="Arial" w:cs="Arial"/>
                <w:i/>
                <w:sz w:val="20"/>
              </w:rPr>
              <w:t>in vitro</w:t>
            </w:r>
            <w:r w:rsidR="0068303A">
              <w:rPr>
                <w:rFonts w:ascii="Arial" w:hAnsi="Arial" w:cs="Arial"/>
                <w:sz w:val="20"/>
              </w:rPr>
              <w:t xml:space="preserve"> assays)</w:t>
            </w:r>
            <w:r w:rsidR="00E044A7">
              <w:rPr>
                <w:rFonts w:ascii="Arial" w:hAnsi="Arial" w:cs="Arial"/>
                <w:sz w:val="20"/>
              </w:rPr>
              <w:t>; all toxicokinetic studies</w:t>
            </w:r>
          </w:p>
          <w:p w14:paraId="71EEA4A5" w14:textId="5D3FCF1D" w:rsidR="00BB06F3" w:rsidRDefault="00E044A7" w:rsidP="00BB06F3">
            <w:pPr>
              <w:pStyle w:val="ListParagraph"/>
              <w:numPr>
                <w:ilvl w:val="0"/>
                <w:numId w:val="5"/>
              </w:numPr>
              <w:jc w:val="left"/>
              <w:rPr>
                <w:rFonts w:ascii="Arial" w:hAnsi="Arial" w:cs="Arial"/>
                <w:sz w:val="20"/>
              </w:rPr>
            </w:pPr>
            <w:r>
              <w:rPr>
                <w:rFonts w:ascii="Arial" w:hAnsi="Arial" w:cs="Arial"/>
                <w:sz w:val="20"/>
              </w:rPr>
              <w:t>Exposure:  A</w:t>
            </w:r>
            <w:r w:rsidR="00BB06F3">
              <w:rPr>
                <w:rFonts w:ascii="Arial" w:hAnsi="Arial" w:cs="Arial"/>
                <w:sz w:val="20"/>
              </w:rPr>
              <w:t xml:space="preserve">ll </w:t>
            </w:r>
            <w:r>
              <w:rPr>
                <w:rFonts w:ascii="Arial" w:hAnsi="Arial" w:cs="Arial"/>
                <w:sz w:val="20"/>
              </w:rPr>
              <w:t xml:space="preserve">dose levels, </w:t>
            </w:r>
            <w:proofErr w:type="gramStart"/>
            <w:r>
              <w:rPr>
                <w:rFonts w:ascii="Arial" w:hAnsi="Arial" w:cs="Arial"/>
                <w:sz w:val="20"/>
              </w:rPr>
              <w:t>durations</w:t>
            </w:r>
            <w:proofErr w:type="gramEnd"/>
            <w:r>
              <w:rPr>
                <w:rFonts w:ascii="Arial" w:hAnsi="Arial" w:cs="Arial"/>
                <w:sz w:val="20"/>
              </w:rPr>
              <w:t xml:space="preserve"> and routes (as relevant to MOA)</w:t>
            </w:r>
          </w:p>
          <w:p w14:paraId="1DBCAEBE" w14:textId="4AA0FB0D" w:rsidR="00E044A7" w:rsidRPr="00C47205" w:rsidRDefault="00E044A7" w:rsidP="00BB06F3">
            <w:pPr>
              <w:pStyle w:val="ListParagraph"/>
              <w:numPr>
                <w:ilvl w:val="0"/>
                <w:numId w:val="5"/>
              </w:numPr>
              <w:jc w:val="left"/>
              <w:rPr>
                <w:rFonts w:ascii="Arial" w:hAnsi="Arial" w:cs="Arial"/>
                <w:sz w:val="20"/>
              </w:rPr>
            </w:pPr>
            <w:r>
              <w:rPr>
                <w:rFonts w:ascii="Arial" w:hAnsi="Arial" w:cs="Arial"/>
                <w:sz w:val="20"/>
              </w:rPr>
              <w:t>Comparator: Negative/positive control groups, as needed</w:t>
            </w:r>
          </w:p>
          <w:p w14:paraId="11E10717" w14:textId="3AB7664C" w:rsidR="00BB06F3" w:rsidRPr="00727083" w:rsidRDefault="00E044A7" w:rsidP="00BB06F3">
            <w:pPr>
              <w:pStyle w:val="ListParagraph"/>
              <w:numPr>
                <w:ilvl w:val="0"/>
                <w:numId w:val="5"/>
              </w:numPr>
              <w:jc w:val="left"/>
              <w:rPr>
                <w:rFonts w:ascii="Arial" w:hAnsi="Arial" w:cs="Arial"/>
                <w:sz w:val="20"/>
              </w:rPr>
            </w:pPr>
            <w:r>
              <w:rPr>
                <w:rFonts w:ascii="Arial" w:hAnsi="Arial" w:cs="Arial"/>
                <w:sz w:val="20"/>
              </w:rPr>
              <w:t xml:space="preserve">Outcome:  Genotoxicity, key molecular initiating events or other steps in postulated MOAs (as identified in the problem formulation phase), particle deposition/clearance (toxicokinetic studies) </w:t>
            </w:r>
          </w:p>
        </w:tc>
        <w:tc>
          <w:tcPr>
            <w:tcW w:w="3209" w:type="dxa"/>
          </w:tcPr>
          <w:p w14:paraId="2636CB26" w14:textId="77777777" w:rsidR="007A2FFA" w:rsidRDefault="00BB06F3" w:rsidP="00BB06F3">
            <w:pPr>
              <w:pStyle w:val="ListParagraph"/>
              <w:numPr>
                <w:ilvl w:val="0"/>
                <w:numId w:val="5"/>
              </w:numPr>
              <w:jc w:val="left"/>
              <w:rPr>
                <w:rFonts w:ascii="Arial" w:hAnsi="Arial" w:cs="Arial"/>
                <w:sz w:val="20"/>
              </w:rPr>
            </w:pPr>
            <w:r>
              <w:rPr>
                <w:rFonts w:ascii="Arial" w:hAnsi="Arial" w:cs="Arial"/>
                <w:sz w:val="20"/>
              </w:rPr>
              <w:t>Chemical mixture studies</w:t>
            </w:r>
          </w:p>
          <w:p w14:paraId="702D6385" w14:textId="4DDF463E" w:rsidR="00E044A7" w:rsidRDefault="00E044A7" w:rsidP="00BB06F3">
            <w:pPr>
              <w:pStyle w:val="ListParagraph"/>
              <w:numPr>
                <w:ilvl w:val="0"/>
                <w:numId w:val="5"/>
              </w:numPr>
              <w:jc w:val="left"/>
              <w:rPr>
                <w:rFonts w:ascii="Arial" w:hAnsi="Arial" w:cs="Arial"/>
                <w:sz w:val="20"/>
              </w:rPr>
            </w:pPr>
            <w:r>
              <w:rPr>
                <w:rFonts w:ascii="Arial" w:hAnsi="Arial" w:cs="Arial"/>
                <w:sz w:val="20"/>
              </w:rPr>
              <w:t>Non-mammalian species (e.g., chicken, zebrafish)</w:t>
            </w:r>
          </w:p>
          <w:p w14:paraId="03FF3783" w14:textId="77C3EB0A" w:rsidR="00BB06F3" w:rsidRDefault="00E044A7" w:rsidP="00BB06F3">
            <w:pPr>
              <w:pStyle w:val="ListParagraph"/>
              <w:numPr>
                <w:ilvl w:val="0"/>
                <w:numId w:val="5"/>
              </w:numPr>
              <w:jc w:val="left"/>
              <w:rPr>
                <w:rFonts w:ascii="Arial" w:hAnsi="Arial" w:cs="Arial"/>
                <w:sz w:val="20"/>
              </w:rPr>
            </w:pPr>
            <w:r>
              <w:rPr>
                <w:rFonts w:ascii="Arial" w:hAnsi="Arial" w:cs="Arial"/>
                <w:sz w:val="20"/>
              </w:rPr>
              <w:t>Substances other than talc</w:t>
            </w:r>
            <w:r w:rsidR="00B62C19">
              <w:rPr>
                <w:rFonts w:ascii="Arial" w:hAnsi="Arial" w:cs="Arial"/>
                <w:sz w:val="20"/>
              </w:rPr>
              <w:t xml:space="preserve"> or asbestos only studies</w:t>
            </w:r>
          </w:p>
          <w:p w14:paraId="00D9B0D6" w14:textId="64F21FDE" w:rsidR="007E08E9" w:rsidRPr="00052C3D" w:rsidRDefault="007E08E9" w:rsidP="00BB06F3">
            <w:pPr>
              <w:pStyle w:val="ListParagraph"/>
              <w:numPr>
                <w:ilvl w:val="0"/>
                <w:numId w:val="5"/>
              </w:numPr>
              <w:jc w:val="left"/>
              <w:rPr>
                <w:rFonts w:ascii="Arial" w:hAnsi="Arial" w:cs="Arial"/>
                <w:sz w:val="20"/>
              </w:rPr>
            </w:pPr>
            <w:r>
              <w:rPr>
                <w:rFonts w:ascii="Arial" w:hAnsi="Arial" w:cs="Arial"/>
                <w:sz w:val="20"/>
              </w:rPr>
              <w:t>Non-English articles</w:t>
            </w:r>
          </w:p>
        </w:tc>
      </w:tr>
    </w:tbl>
    <w:p w14:paraId="234FB877" w14:textId="77777777" w:rsidR="0031618A" w:rsidRPr="00C13FF5" w:rsidRDefault="0031618A" w:rsidP="001F49D9"/>
    <w:p w14:paraId="036DE06E" w14:textId="4C821AB4" w:rsidR="00C13FF5" w:rsidRPr="00662D9C" w:rsidRDefault="00941E01" w:rsidP="00662D9C">
      <w:pPr>
        <w:pStyle w:val="ListParagraph"/>
        <w:keepNext/>
        <w:keepLines/>
        <w:numPr>
          <w:ilvl w:val="1"/>
          <w:numId w:val="1"/>
        </w:numPr>
        <w:spacing w:before="200" w:after="120" w:line="240" w:lineRule="atLeast"/>
        <w:jc w:val="left"/>
        <w:outlineLvl w:val="1"/>
        <w:rPr>
          <w:rFonts w:ascii="Arial" w:eastAsia="MS Gothic" w:hAnsi="Arial" w:cs="Times New Roman"/>
          <w:b/>
          <w:bCs/>
        </w:rPr>
      </w:pPr>
      <w:bookmarkStart w:id="8" w:name="_Toc69210656"/>
      <w:r>
        <w:rPr>
          <w:rFonts w:ascii="Arial" w:eastAsia="MS Gothic" w:hAnsi="Arial" w:cs="Times New Roman"/>
          <w:b/>
          <w:bCs/>
        </w:rPr>
        <w:t>Information Sources</w:t>
      </w:r>
      <w:r w:rsidR="00824CDF">
        <w:rPr>
          <w:rFonts w:ascii="Arial" w:eastAsia="MS Gothic" w:hAnsi="Arial" w:cs="Times New Roman"/>
          <w:b/>
          <w:bCs/>
        </w:rPr>
        <w:t>,</w:t>
      </w:r>
      <w:r>
        <w:rPr>
          <w:rFonts w:ascii="Arial" w:eastAsia="MS Gothic" w:hAnsi="Arial" w:cs="Times New Roman"/>
          <w:b/>
          <w:bCs/>
        </w:rPr>
        <w:t xml:space="preserve"> </w:t>
      </w:r>
      <w:r w:rsidR="00C13FF5">
        <w:rPr>
          <w:rFonts w:ascii="Arial" w:eastAsia="MS Gothic" w:hAnsi="Arial" w:cs="Times New Roman"/>
          <w:b/>
          <w:bCs/>
        </w:rPr>
        <w:t>Search Strategy</w:t>
      </w:r>
      <w:bookmarkEnd w:id="8"/>
      <w:r w:rsidR="00824CDF">
        <w:rPr>
          <w:rFonts w:ascii="Arial" w:eastAsia="MS Gothic" w:hAnsi="Arial" w:cs="Times New Roman"/>
          <w:b/>
          <w:bCs/>
        </w:rPr>
        <w:t>, and Selection Process</w:t>
      </w:r>
    </w:p>
    <w:p w14:paraId="752DC731" w14:textId="3C2BE7CE" w:rsidR="00986C72" w:rsidRDefault="003D46A8" w:rsidP="00662D9C">
      <w:pPr>
        <w:spacing w:after="180" w:line="240" w:lineRule="atLeast"/>
        <w:ind w:left="1440"/>
        <w:jc w:val="left"/>
        <w:rPr>
          <w:rFonts w:ascii="Arial" w:eastAsia="Calibri" w:hAnsi="Arial" w:cs="Arial"/>
          <w:sz w:val="20"/>
          <w:szCs w:val="20"/>
        </w:rPr>
      </w:pPr>
      <w:r>
        <w:rPr>
          <w:rFonts w:ascii="Arial" w:eastAsia="Calibri" w:hAnsi="Arial" w:cs="Arial"/>
          <w:sz w:val="20"/>
          <w:szCs w:val="20"/>
        </w:rPr>
        <w:t>We will c</w:t>
      </w:r>
      <w:r w:rsidR="00757E4D">
        <w:rPr>
          <w:rFonts w:ascii="Arial" w:eastAsia="Calibri" w:hAnsi="Arial" w:cs="Arial"/>
          <w:sz w:val="20"/>
          <w:szCs w:val="20"/>
        </w:rPr>
        <w:t>onduct</w:t>
      </w:r>
      <w:r w:rsidR="00986C72" w:rsidRPr="00412554">
        <w:rPr>
          <w:rFonts w:ascii="Arial" w:eastAsia="Calibri" w:hAnsi="Arial" w:cs="Arial"/>
          <w:sz w:val="20"/>
          <w:szCs w:val="20"/>
        </w:rPr>
        <w:t xml:space="preserve"> literature searches in PubMed, Web of </w:t>
      </w:r>
      <w:proofErr w:type="gramStart"/>
      <w:r w:rsidR="00986C72" w:rsidRPr="00412554">
        <w:rPr>
          <w:rFonts w:ascii="Arial" w:eastAsia="Calibri" w:hAnsi="Arial" w:cs="Arial"/>
          <w:sz w:val="20"/>
          <w:szCs w:val="20"/>
        </w:rPr>
        <w:t>Science</w:t>
      </w:r>
      <w:proofErr w:type="gramEnd"/>
      <w:r w:rsidR="00986C72" w:rsidRPr="00412554">
        <w:rPr>
          <w:rFonts w:ascii="Arial" w:eastAsia="Calibri" w:hAnsi="Arial" w:cs="Arial"/>
          <w:sz w:val="20"/>
          <w:szCs w:val="20"/>
        </w:rPr>
        <w:t xml:space="preserve"> and other sources, with support from our professional librarian, using existing agency reviews as a basis for cross-reference of critical references. </w:t>
      </w:r>
      <w:r>
        <w:rPr>
          <w:rFonts w:ascii="Arial" w:eastAsia="Calibri" w:hAnsi="Arial" w:cs="Arial"/>
          <w:sz w:val="20"/>
          <w:szCs w:val="20"/>
        </w:rPr>
        <w:t xml:space="preserve">Results of PubMed will be imported </w:t>
      </w:r>
      <w:r w:rsidR="00EC3414">
        <w:rPr>
          <w:rFonts w:ascii="Arial" w:eastAsia="Calibri" w:hAnsi="Arial" w:cs="Arial"/>
          <w:sz w:val="20"/>
          <w:szCs w:val="20"/>
        </w:rPr>
        <w:t>Microsoft Excel</w:t>
      </w:r>
      <w:r>
        <w:rPr>
          <w:rFonts w:ascii="Arial" w:eastAsia="Calibri" w:hAnsi="Arial" w:cs="Arial"/>
          <w:sz w:val="20"/>
          <w:szCs w:val="20"/>
        </w:rPr>
        <w:t xml:space="preserve"> for the purposes of organization, screening, selection, and mapping to specific reviewers.  </w:t>
      </w:r>
      <w:r w:rsidR="008B3A88">
        <w:rPr>
          <w:rFonts w:ascii="Arial" w:eastAsia="Calibri" w:hAnsi="Arial" w:cs="Arial"/>
          <w:sz w:val="20"/>
          <w:szCs w:val="20"/>
        </w:rPr>
        <w:t xml:space="preserve">Two reviewers will evaluate titles and abstracts for relevance and adherence to PECO. </w:t>
      </w:r>
      <w:r w:rsidR="00824CDF">
        <w:rPr>
          <w:rFonts w:ascii="Arial" w:eastAsia="Calibri" w:hAnsi="Arial" w:cs="Arial"/>
          <w:sz w:val="20"/>
          <w:szCs w:val="20"/>
        </w:rPr>
        <w:t xml:space="preserve">A summary flow chart depicting the total number of references and those excluded according to the criteria in Table 1 above will be provided. </w:t>
      </w:r>
    </w:p>
    <w:p w14:paraId="62BFB22E" w14:textId="5D006B7D" w:rsidR="005B56C5" w:rsidRPr="00412554" w:rsidRDefault="005B56C5" w:rsidP="00662D9C">
      <w:pPr>
        <w:spacing w:after="180" w:line="240" w:lineRule="atLeast"/>
        <w:ind w:left="1440"/>
        <w:jc w:val="left"/>
        <w:rPr>
          <w:rFonts w:ascii="Arial" w:eastAsia="Calibri" w:hAnsi="Arial" w:cs="Arial"/>
          <w:sz w:val="20"/>
          <w:szCs w:val="20"/>
        </w:rPr>
      </w:pPr>
      <w:r>
        <w:rPr>
          <w:rFonts w:ascii="Arial" w:eastAsia="Calibri" w:hAnsi="Arial" w:cs="Arial"/>
          <w:sz w:val="20"/>
          <w:szCs w:val="20"/>
        </w:rPr>
        <w:t>The search string is as follows</w:t>
      </w:r>
      <w:proofErr w:type="gramStart"/>
      <w:r>
        <w:rPr>
          <w:rFonts w:ascii="Arial" w:eastAsia="Calibri" w:hAnsi="Arial" w:cs="Arial"/>
          <w:sz w:val="20"/>
          <w:szCs w:val="20"/>
        </w:rPr>
        <w:t xml:space="preserve">:  </w:t>
      </w:r>
      <w:r>
        <w:rPr>
          <w:sz w:val="21"/>
          <w:szCs w:val="21"/>
        </w:rPr>
        <w:t>(</w:t>
      </w:r>
      <w:proofErr w:type="gramEnd"/>
      <w:r>
        <w:rPr>
          <w:sz w:val="21"/>
          <w:szCs w:val="21"/>
        </w:rPr>
        <w:t>talc OR "talcum powder") AND ("cancer" OR carcinogen)</w:t>
      </w:r>
    </w:p>
    <w:p w14:paraId="783FA53F" w14:textId="77777777" w:rsidR="00986C72" w:rsidRPr="00412554" w:rsidRDefault="00986C72" w:rsidP="00662D9C">
      <w:pPr>
        <w:keepNext/>
        <w:keepLines/>
        <w:spacing w:before="240" w:after="160" w:line="240" w:lineRule="atLeast"/>
        <w:ind w:left="720" w:firstLine="720"/>
        <w:jc w:val="left"/>
        <w:outlineLvl w:val="3"/>
        <w:rPr>
          <w:rFonts w:ascii="Arial" w:eastAsia="MS Gothic" w:hAnsi="Arial" w:cs="Times New Roman"/>
          <w:bCs/>
          <w:iCs/>
          <w:sz w:val="20"/>
          <w:u w:val="single"/>
        </w:rPr>
      </w:pPr>
      <w:r w:rsidRPr="00412554">
        <w:rPr>
          <w:rFonts w:ascii="Arial" w:eastAsia="MS Gothic" w:hAnsi="Arial" w:cs="Times New Roman"/>
          <w:bCs/>
          <w:iCs/>
          <w:sz w:val="20"/>
          <w:u w:val="single"/>
        </w:rPr>
        <w:lastRenderedPageBreak/>
        <w:t xml:space="preserve">Animal and </w:t>
      </w:r>
      <w:r w:rsidRPr="00412554">
        <w:rPr>
          <w:rFonts w:ascii="Arial" w:eastAsia="MS Gothic" w:hAnsi="Arial" w:cs="Times New Roman"/>
          <w:bCs/>
          <w:i/>
          <w:iCs/>
          <w:sz w:val="20"/>
          <w:u w:val="single"/>
        </w:rPr>
        <w:t xml:space="preserve">In Vitro </w:t>
      </w:r>
      <w:r w:rsidRPr="00412554">
        <w:rPr>
          <w:rFonts w:ascii="Arial" w:eastAsia="MS Gothic" w:hAnsi="Arial" w:cs="Times New Roman"/>
          <w:bCs/>
          <w:iCs/>
          <w:sz w:val="20"/>
          <w:u w:val="single"/>
        </w:rPr>
        <w:t>Evidence</w:t>
      </w:r>
    </w:p>
    <w:p w14:paraId="648E1AE4" w14:textId="60B89727" w:rsidR="008979E2" w:rsidRDefault="008979E2" w:rsidP="00E044A7">
      <w:pPr>
        <w:spacing w:after="180" w:line="240" w:lineRule="atLeast"/>
        <w:ind w:left="1440"/>
        <w:jc w:val="left"/>
        <w:rPr>
          <w:rFonts w:ascii="Arial" w:eastAsia="Calibri" w:hAnsi="Arial" w:cs="Arial"/>
          <w:sz w:val="20"/>
          <w:szCs w:val="20"/>
        </w:rPr>
      </w:pPr>
      <w:r>
        <w:rPr>
          <w:rFonts w:ascii="Arial" w:eastAsia="Calibri" w:hAnsi="Arial" w:cs="Arial"/>
          <w:sz w:val="20"/>
          <w:szCs w:val="20"/>
        </w:rPr>
        <w:t xml:space="preserve">1. </w:t>
      </w:r>
      <w:r w:rsidR="00824CDF">
        <w:rPr>
          <w:rFonts w:ascii="Arial" w:eastAsia="Calibri" w:hAnsi="Arial" w:cs="Arial"/>
          <w:sz w:val="20"/>
          <w:szCs w:val="20"/>
        </w:rPr>
        <w:t>E</w:t>
      </w:r>
      <w:r w:rsidR="00986C72" w:rsidRPr="00412554">
        <w:rPr>
          <w:rFonts w:ascii="Arial" w:eastAsia="Calibri" w:hAnsi="Arial" w:cs="Arial"/>
          <w:sz w:val="20"/>
          <w:szCs w:val="20"/>
        </w:rPr>
        <w:t xml:space="preserve">xperimental animal studies </w:t>
      </w:r>
      <w:r w:rsidR="00824CDF">
        <w:rPr>
          <w:rFonts w:ascii="Arial" w:eastAsia="Calibri" w:hAnsi="Arial" w:cs="Arial"/>
          <w:sz w:val="20"/>
          <w:szCs w:val="20"/>
        </w:rPr>
        <w:t xml:space="preserve">will be selected </w:t>
      </w:r>
      <w:r w:rsidR="00986C72" w:rsidRPr="00412554">
        <w:rPr>
          <w:rFonts w:ascii="Arial" w:eastAsia="Calibri" w:hAnsi="Arial" w:cs="Arial"/>
          <w:sz w:val="20"/>
          <w:szCs w:val="20"/>
        </w:rPr>
        <w:t>based on their overall relevance to the chronic hea</w:t>
      </w:r>
      <w:r>
        <w:rPr>
          <w:rFonts w:ascii="Arial" w:eastAsia="Calibri" w:hAnsi="Arial" w:cs="Arial"/>
          <w:sz w:val="20"/>
          <w:szCs w:val="20"/>
        </w:rPr>
        <w:t xml:space="preserve">lth effects (primarily cancers), adherence to the PECO noted in Table 1 above, </w:t>
      </w:r>
      <w:r w:rsidR="00986C72" w:rsidRPr="00412554">
        <w:rPr>
          <w:rFonts w:ascii="Arial" w:eastAsia="Calibri" w:hAnsi="Arial" w:cs="Arial"/>
          <w:sz w:val="20"/>
          <w:szCs w:val="20"/>
        </w:rPr>
        <w:t>and relevance to the epidemiological literature.</w:t>
      </w:r>
      <w:r w:rsidR="00824CDF">
        <w:rPr>
          <w:rFonts w:ascii="Arial" w:eastAsia="Calibri" w:hAnsi="Arial" w:cs="Arial"/>
          <w:sz w:val="20"/>
          <w:szCs w:val="20"/>
        </w:rPr>
        <w:t xml:space="preserve"> We will rely</w:t>
      </w:r>
      <w:r w:rsidR="00986C72" w:rsidRPr="00412554">
        <w:rPr>
          <w:rFonts w:ascii="Arial" w:eastAsia="Calibri" w:hAnsi="Arial" w:cs="Arial"/>
          <w:sz w:val="20"/>
          <w:szCs w:val="20"/>
        </w:rPr>
        <w:t xml:space="preserve"> on </w:t>
      </w:r>
      <w:proofErr w:type="spellStart"/>
      <w:r w:rsidR="00986C72" w:rsidRPr="00412554">
        <w:rPr>
          <w:rFonts w:ascii="Arial" w:eastAsia="Calibri" w:hAnsi="Arial" w:cs="Arial"/>
          <w:sz w:val="20"/>
          <w:szCs w:val="20"/>
        </w:rPr>
        <w:t>publically</w:t>
      </w:r>
      <w:proofErr w:type="spellEnd"/>
      <w:r w:rsidR="00986C72" w:rsidRPr="00412554">
        <w:rPr>
          <w:rFonts w:ascii="Arial" w:eastAsia="Calibri" w:hAnsi="Arial" w:cs="Arial"/>
          <w:sz w:val="20"/>
          <w:szCs w:val="20"/>
        </w:rPr>
        <w:t xml:space="preserve"> available reviews and analyses of animal toxicology and </w:t>
      </w:r>
      <w:r w:rsidR="00986C72" w:rsidRPr="00412554">
        <w:rPr>
          <w:rFonts w:ascii="Arial" w:eastAsia="Calibri" w:hAnsi="Arial" w:cs="Arial"/>
          <w:i/>
          <w:sz w:val="20"/>
          <w:szCs w:val="20"/>
        </w:rPr>
        <w:t>in vitro</w:t>
      </w:r>
      <w:r w:rsidR="00986C72" w:rsidRPr="00412554">
        <w:rPr>
          <w:rFonts w:ascii="Arial" w:eastAsia="Calibri" w:hAnsi="Arial" w:cs="Arial"/>
          <w:sz w:val="20"/>
          <w:szCs w:val="20"/>
        </w:rPr>
        <w:t xml:space="preserve"> data, including but not limited to the most recent reviews of talc from IARC and EPA. </w:t>
      </w:r>
    </w:p>
    <w:p w14:paraId="4A258E53" w14:textId="7652581B" w:rsidR="00986C72" w:rsidRPr="00412554" w:rsidRDefault="008979E2" w:rsidP="00E044A7">
      <w:pPr>
        <w:spacing w:after="180" w:line="240" w:lineRule="atLeast"/>
        <w:ind w:left="1440"/>
        <w:jc w:val="left"/>
        <w:rPr>
          <w:rFonts w:ascii="Arial" w:eastAsia="Calibri" w:hAnsi="Arial" w:cs="Arial"/>
          <w:sz w:val="20"/>
          <w:szCs w:val="20"/>
        </w:rPr>
      </w:pPr>
      <w:r>
        <w:rPr>
          <w:rFonts w:ascii="Arial" w:eastAsia="Calibri" w:hAnsi="Arial" w:cs="Arial"/>
          <w:sz w:val="20"/>
          <w:szCs w:val="20"/>
        </w:rPr>
        <w:t xml:space="preserve">2. </w:t>
      </w:r>
      <w:r w:rsidR="00824CDF">
        <w:rPr>
          <w:rFonts w:ascii="Arial" w:eastAsia="Calibri" w:hAnsi="Arial" w:cs="Arial"/>
          <w:sz w:val="20"/>
          <w:szCs w:val="20"/>
        </w:rPr>
        <w:t>We will c</w:t>
      </w:r>
      <w:r w:rsidR="00B907CC">
        <w:rPr>
          <w:rFonts w:ascii="Arial" w:eastAsia="Calibri" w:hAnsi="Arial" w:cs="Arial"/>
          <w:sz w:val="20"/>
          <w:szCs w:val="20"/>
        </w:rPr>
        <w:t>onduct a</w:t>
      </w:r>
      <w:r w:rsidR="00986C72" w:rsidRPr="00412554">
        <w:rPr>
          <w:rFonts w:ascii="Arial" w:eastAsia="Calibri" w:hAnsi="Arial" w:cs="Arial"/>
          <w:sz w:val="20"/>
          <w:szCs w:val="20"/>
        </w:rPr>
        <w:t xml:space="preserve">dditional literature searches to capture peer-reviewed literature published after the body of literature considered in the IARC and EPA reviews was published. </w:t>
      </w:r>
    </w:p>
    <w:p w14:paraId="1DD1E277" w14:textId="77777777" w:rsidR="00986C72" w:rsidRPr="00412554" w:rsidRDefault="00986C72" w:rsidP="00941E01">
      <w:pPr>
        <w:keepNext/>
        <w:keepLines/>
        <w:spacing w:before="240" w:after="160" w:line="240" w:lineRule="atLeast"/>
        <w:ind w:left="720" w:firstLine="720"/>
        <w:jc w:val="left"/>
        <w:outlineLvl w:val="3"/>
        <w:rPr>
          <w:rFonts w:ascii="Arial" w:eastAsia="MS Gothic" w:hAnsi="Arial" w:cs="Times New Roman"/>
          <w:bCs/>
          <w:iCs/>
          <w:sz w:val="20"/>
          <w:u w:val="single"/>
        </w:rPr>
      </w:pPr>
      <w:r w:rsidRPr="00412554">
        <w:rPr>
          <w:rFonts w:ascii="Arial" w:eastAsia="MS Gothic" w:hAnsi="Arial" w:cs="Times New Roman"/>
          <w:bCs/>
          <w:iCs/>
          <w:sz w:val="20"/>
          <w:u w:val="single"/>
        </w:rPr>
        <w:t>Epidemiological Evidence</w:t>
      </w:r>
    </w:p>
    <w:p w14:paraId="17E9C0AE" w14:textId="05917FD8" w:rsidR="00986C72" w:rsidRPr="00412554" w:rsidRDefault="00986C72" w:rsidP="00941E01">
      <w:pPr>
        <w:spacing w:after="180" w:line="240" w:lineRule="atLeast"/>
        <w:ind w:left="1440"/>
        <w:jc w:val="left"/>
        <w:rPr>
          <w:rFonts w:ascii="Arial" w:eastAsia="Calibri" w:hAnsi="Arial" w:cs="Arial"/>
          <w:sz w:val="20"/>
          <w:szCs w:val="20"/>
        </w:rPr>
      </w:pPr>
      <w:r w:rsidRPr="00412554">
        <w:rPr>
          <w:rFonts w:ascii="Arial" w:eastAsia="Calibri" w:hAnsi="Arial" w:cs="Arial"/>
          <w:sz w:val="20"/>
          <w:szCs w:val="20"/>
        </w:rPr>
        <w:t xml:space="preserve">Literature searches initially will include coverage of groups or populations exposed to talc, including talc miners and millers (the groups historically the most highly exposed) as well as users of talcum powders and other products containing talc. Historically, talc and asbestos have been used in some of the same industries or for some of the same purposes, e.g., stiffening rubber products (IARC 2010). Consequently, studies of workers in settings where talc and asbestos have been used intentionally and concurrently (e.g., manufacture of rubber goods) are not useful for differentiating the risks individually associated with asbestos or </w:t>
      </w:r>
      <w:proofErr w:type="gramStart"/>
      <w:r w:rsidRPr="00412554">
        <w:rPr>
          <w:rFonts w:ascii="Arial" w:eastAsia="Calibri" w:hAnsi="Arial" w:cs="Arial"/>
          <w:sz w:val="20"/>
          <w:szCs w:val="20"/>
        </w:rPr>
        <w:t>talc, and</w:t>
      </w:r>
      <w:proofErr w:type="gramEnd"/>
      <w:r w:rsidRPr="00412554">
        <w:rPr>
          <w:rFonts w:ascii="Arial" w:eastAsia="Calibri" w:hAnsi="Arial" w:cs="Arial"/>
          <w:sz w:val="20"/>
          <w:szCs w:val="20"/>
        </w:rPr>
        <w:t xml:space="preserve"> will not be reviewed.</w:t>
      </w:r>
    </w:p>
    <w:p w14:paraId="7D9197B1" w14:textId="7AE767CE" w:rsidR="00986C72" w:rsidRPr="00412554" w:rsidRDefault="003D46A8" w:rsidP="00941E01">
      <w:pPr>
        <w:spacing w:after="180" w:line="240" w:lineRule="atLeast"/>
        <w:ind w:left="1440"/>
        <w:jc w:val="left"/>
        <w:rPr>
          <w:rFonts w:ascii="Arial" w:eastAsia="Calibri" w:hAnsi="Arial" w:cs="Arial"/>
          <w:color w:val="000000"/>
          <w:sz w:val="20"/>
          <w:szCs w:val="20"/>
        </w:rPr>
      </w:pPr>
      <w:r>
        <w:rPr>
          <w:rFonts w:ascii="Arial" w:eastAsia="Calibri" w:hAnsi="Arial" w:cs="Arial"/>
          <w:sz w:val="20"/>
          <w:szCs w:val="20"/>
        </w:rPr>
        <w:t>For all domains, t</w:t>
      </w:r>
      <w:r w:rsidR="00986C72" w:rsidRPr="00412554">
        <w:rPr>
          <w:rFonts w:ascii="Arial" w:eastAsia="Calibri" w:hAnsi="Arial" w:cs="Arial"/>
          <w:sz w:val="20"/>
          <w:szCs w:val="20"/>
        </w:rPr>
        <w:t>he results of the initial literature searches will be screened for relevance to hazard evaluation and possibly quantitative risk characterization, if appropriate</w:t>
      </w:r>
      <w:r w:rsidR="008979E2">
        <w:rPr>
          <w:rFonts w:ascii="Arial" w:eastAsia="Calibri" w:hAnsi="Arial" w:cs="Arial"/>
          <w:sz w:val="20"/>
          <w:szCs w:val="20"/>
        </w:rPr>
        <w:t>, according to the PECO criteria in Table 1 above.</w:t>
      </w:r>
      <w:r w:rsidR="00986C72" w:rsidRPr="00412554">
        <w:rPr>
          <w:rFonts w:ascii="Arial" w:eastAsia="Calibri" w:hAnsi="Arial" w:cs="Arial"/>
          <w:sz w:val="20"/>
          <w:szCs w:val="20"/>
        </w:rPr>
        <w:t xml:space="preserve"> Those not selected will be identified based on the primary reason(s) for non-inclusion (e.g., not an epidemiological study, inadequate documentation of exposure or outcome, etc.), and classified accordingly for review transparency.</w:t>
      </w:r>
    </w:p>
    <w:p w14:paraId="658847F8" w14:textId="0DF04947" w:rsidR="00EC3414" w:rsidRPr="006B179E" w:rsidRDefault="00284B7A" w:rsidP="006B179E">
      <w:pPr>
        <w:pStyle w:val="ListParagraph"/>
        <w:keepNext/>
        <w:keepLines/>
        <w:numPr>
          <w:ilvl w:val="1"/>
          <w:numId w:val="1"/>
        </w:numPr>
        <w:spacing w:before="200" w:after="180" w:line="240" w:lineRule="atLeast"/>
        <w:jc w:val="left"/>
        <w:outlineLvl w:val="1"/>
        <w:rPr>
          <w:rFonts w:ascii="Arial" w:eastAsia="Calibri" w:hAnsi="Arial" w:cs="Arial"/>
          <w:sz w:val="20"/>
          <w:szCs w:val="20"/>
        </w:rPr>
      </w:pPr>
      <w:bookmarkStart w:id="9" w:name="_Toc69210657"/>
      <w:r w:rsidRPr="00EC3414">
        <w:rPr>
          <w:rFonts w:ascii="Arial" w:eastAsia="MS Gothic" w:hAnsi="Arial" w:cs="Times New Roman"/>
          <w:b/>
          <w:bCs/>
        </w:rPr>
        <w:t xml:space="preserve">Study Records: </w:t>
      </w:r>
      <w:r w:rsidR="00986C72" w:rsidRPr="00EC3414">
        <w:rPr>
          <w:rFonts w:ascii="Arial" w:eastAsia="MS Gothic" w:hAnsi="Arial" w:cs="Times New Roman"/>
          <w:b/>
          <w:bCs/>
        </w:rPr>
        <w:t>Data Abstraction</w:t>
      </w:r>
      <w:bookmarkEnd w:id="9"/>
    </w:p>
    <w:p w14:paraId="2E39770A" w14:textId="7FCEC9A1" w:rsidR="00986C72" w:rsidRPr="006B179E" w:rsidRDefault="00986C72" w:rsidP="00FD314A">
      <w:pPr>
        <w:spacing w:after="120"/>
        <w:ind w:left="1440"/>
        <w:jc w:val="left"/>
        <w:rPr>
          <w:rFonts w:ascii="Arial" w:eastAsia="MS Gothic" w:hAnsi="Arial" w:cs="Arial"/>
          <w:b/>
          <w:bCs/>
          <w:sz w:val="20"/>
        </w:rPr>
      </w:pPr>
      <w:r w:rsidRPr="006B179E">
        <w:rPr>
          <w:rFonts w:ascii="Arial" w:hAnsi="Arial" w:cs="Arial"/>
          <w:sz w:val="20"/>
        </w:rPr>
        <w:t xml:space="preserve">Once the relevant body of literature is identified for each of the primary lines of evidence, </w:t>
      </w:r>
      <w:r w:rsidR="00EC3414" w:rsidRPr="006B179E">
        <w:rPr>
          <w:rFonts w:ascii="Arial" w:hAnsi="Arial" w:cs="Arial"/>
          <w:sz w:val="20"/>
        </w:rPr>
        <w:t>each</w:t>
      </w:r>
      <w:r w:rsidR="00953296" w:rsidRPr="006B179E">
        <w:rPr>
          <w:rFonts w:ascii="Arial" w:hAnsi="Arial" w:cs="Arial"/>
          <w:sz w:val="20"/>
        </w:rPr>
        <w:t xml:space="preserve"> s</w:t>
      </w:r>
      <w:r w:rsidR="003D46A8" w:rsidRPr="006B179E">
        <w:rPr>
          <w:rFonts w:ascii="Arial" w:hAnsi="Arial" w:cs="Arial"/>
          <w:sz w:val="20"/>
        </w:rPr>
        <w:t>elected study will be reviewed, summarized in narrative form, and key studies tabulated</w:t>
      </w:r>
      <w:r w:rsidR="008B3A88">
        <w:rPr>
          <w:rFonts w:ascii="Arial" w:hAnsi="Arial" w:cs="Arial"/>
          <w:sz w:val="20"/>
        </w:rPr>
        <w:t xml:space="preserve"> by one researcher and verified/</w:t>
      </w:r>
      <w:proofErr w:type="spellStart"/>
      <w:r w:rsidR="008B3A88">
        <w:rPr>
          <w:rFonts w:ascii="Arial" w:hAnsi="Arial" w:cs="Arial"/>
          <w:sz w:val="20"/>
        </w:rPr>
        <w:t>QCed</w:t>
      </w:r>
      <w:proofErr w:type="spellEnd"/>
      <w:r w:rsidR="008B3A88">
        <w:rPr>
          <w:rFonts w:ascii="Arial" w:hAnsi="Arial" w:cs="Arial"/>
          <w:sz w:val="20"/>
        </w:rPr>
        <w:t xml:space="preserve"> by a second researcher</w:t>
      </w:r>
      <w:r w:rsidR="003D46A8" w:rsidRPr="006B179E">
        <w:rPr>
          <w:rFonts w:ascii="Arial" w:hAnsi="Arial" w:cs="Arial"/>
          <w:sz w:val="20"/>
        </w:rPr>
        <w:t>.</w:t>
      </w:r>
      <w:r w:rsidRPr="006B179E">
        <w:rPr>
          <w:rFonts w:ascii="Arial" w:hAnsi="Arial" w:cs="Arial"/>
          <w:sz w:val="20"/>
        </w:rPr>
        <w:t xml:space="preserve"> Study results will be considered in the context of the quality assessment, </w:t>
      </w:r>
      <w:r w:rsidR="00953296" w:rsidRPr="006B179E">
        <w:rPr>
          <w:rFonts w:ascii="Arial" w:hAnsi="Arial" w:cs="Arial"/>
          <w:sz w:val="20"/>
        </w:rPr>
        <w:t xml:space="preserve">as </w:t>
      </w:r>
      <w:r w:rsidRPr="006B179E">
        <w:rPr>
          <w:rFonts w:ascii="Arial" w:hAnsi="Arial" w:cs="Arial"/>
          <w:sz w:val="20"/>
        </w:rPr>
        <w:t xml:space="preserve">described below. </w:t>
      </w:r>
      <w:r w:rsidR="00B53403" w:rsidRPr="006B179E">
        <w:rPr>
          <w:rFonts w:ascii="Arial" w:hAnsi="Arial" w:cs="Arial"/>
          <w:sz w:val="20"/>
        </w:rPr>
        <w:t>T</w:t>
      </w:r>
      <w:r w:rsidRPr="006B179E">
        <w:rPr>
          <w:rFonts w:ascii="Arial" w:hAnsi="Arial" w:cs="Arial"/>
          <w:sz w:val="20"/>
        </w:rPr>
        <w:t>he methodologi</w:t>
      </w:r>
      <w:r w:rsidR="00EC3414" w:rsidRPr="006B179E">
        <w:rPr>
          <w:rFonts w:ascii="Arial" w:hAnsi="Arial" w:cs="Arial"/>
          <w:sz w:val="20"/>
        </w:rPr>
        <w:t>cal strengths and limitations of</w:t>
      </w:r>
      <w:r w:rsidRPr="006B179E">
        <w:rPr>
          <w:rFonts w:ascii="Arial" w:hAnsi="Arial" w:cs="Arial"/>
          <w:sz w:val="20"/>
        </w:rPr>
        <w:t xml:space="preserve"> each key study’s results will be weighted for inclusion in the synthesis and integration steps.</w:t>
      </w:r>
      <w:r w:rsidRPr="006B179E">
        <w:rPr>
          <w:rFonts w:ascii="Arial" w:eastAsia="MS Gothic" w:hAnsi="Arial" w:cs="Arial"/>
          <w:b/>
          <w:bCs/>
          <w:sz w:val="20"/>
        </w:rPr>
        <w:t xml:space="preserve"> </w:t>
      </w:r>
    </w:p>
    <w:p w14:paraId="6D9889E8" w14:textId="314C4CD4" w:rsidR="00986C72" w:rsidRPr="00E938D3" w:rsidRDefault="00E938D3" w:rsidP="00E938D3">
      <w:pPr>
        <w:pStyle w:val="Heading2"/>
        <w:spacing w:after="120"/>
        <w:ind w:left="720"/>
        <w:rPr>
          <w:rFonts w:ascii="Arial" w:eastAsia="MS Gothic" w:hAnsi="Arial" w:cs="Times New Roman"/>
          <w:b/>
          <w:bCs/>
          <w:color w:val="auto"/>
          <w:sz w:val="22"/>
          <w:szCs w:val="22"/>
        </w:rPr>
      </w:pPr>
      <w:bookmarkStart w:id="10" w:name="_Toc68100105"/>
      <w:bookmarkStart w:id="11" w:name="_Toc69210658"/>
      <w:r>
        <w:rPr>
          <w:rFonts w:ascii="Arial" w:eastAsia="MS Gothic" w:hAnsi="Arial" w:cs="Times New Roman"/>
          <w:b/>
          <w:bCs/>
          <w:color w:val="auto"/>
          <w:sz w:val="22"/>
          <w:szCs w:val="22"/>
        </w:rPr>
        <w:t>2.4</w:t>
      </w:r>
      <w:r>
        <w:rPr>
          <w:rFonts w:ascii="Arial" w:eastAsia="MS Gothic" w:hAnsi="Arial" w:cs="Times New Roman"/>
          <w:b/>
          <w:bCs/>
          <w:color w:val="auto"/>
          <w:sz w:val="22"/>
          <w:szCs w:val="22"/>
        </w:rPr>
        <w:tab/>
      </w:r>
      <w:r w:rsidR="00986C72" w:rsidRPr="00E938D3">
        <w:rPr>
          <w:rFonts w:ascii="Arial" w:eastAsia="MS Gothic" w:hAnsi="Arial" w:cs="Times New Roman"/>
          <w:b/>
          <w:bCs/>
          <w:color w:val="auto"/>
          <w:sz w:val="22"/>
          <w:szCs w:val="22"/>
        </w:rPr>
        <w:t>Study Quality Evaluation</w:t>
      </w:r>
      <w:bookmarkEnd w:id="10"/>
      <w:bookmarkEnd w:id="11"/>
    </w:p>
    <w:p w14:paraId="0FEF69DE" w14:textId="6AA38174" w:rsidR="00986C72" w:rsidRDefault="00986C72" w:rsidP="00284B7A">
      <w:pPr>
        <w:spacing w:after="180" w:line="240" w:lineRule="atLeast"/>
        <w:ind w:left="1440"/>
        <w:jc w:val="left"/>
        <w:rPr>
          <w:rFonts w:ascii="Arial" w:eastAsia="Calibri" w:hAnsi="Arial" w:cs="Arial"/>
          <w:sz w:val="20"/>
          <w:szCs w:val="20"/>
        </w:rPr>
      </w:pPr>
      <w:r w:rsidRPr="00412554">
        <w:rPr>
          <w:rFonts w:ascii="Arial" w:eastAsia="Calibri" w:hAnsi="Arial" w:cs="Arial"/>
          <w:sz w:val="20"/>
          <w:szCs w:val="20"/>
        </w:rPr>
        <w:t xml:space="preserve">We will follow </w:t>
      </w:r>
      <w:r w:rsidR="00840288">
        <w:rPr>
          <w:rFonts w:ascii="Arial" w:eastAsia="Calibri" w:hAnsi="Arial" w:cs="Arial"/>
          <w:sz w:val="20"/>
          <w:szCs w:val="20"/>
        </w:rPr>
        <w:t xml:space="preserve">a modified version of the </w:t>
      </w:r>
      <w:r w:rsidRPr="00412554">
        <w:rPr>
          <w:rFonts w:ascii="Arial" w:eastAsia="Calibri" w:hAnsi="Arial" w:cs="Arial"/>
          <w:sz w:val="20"/>
          <w:szCs w:val="20"/>
        </w:rPr>
        <w:t xml:space="preserve">study quality framework used by US EPA for the 2016 amended Toxic Substance Control Act (TSCA) risk evaluations, as outlined in </w:t>
      </w:r>
      <w:r w:rsidRPr="00412554">
        <w:rPr>
          <w:rFonts w:ascii="Arial" w:eastAsia="Calibri" w:hAnsi="Arial" w:cs="Arial"/>
          <w:i/>
          <w:sz w:val="20"/>
          <w:szCs w:val="20"/>
        </w:rPr>
        <w:t>Application of Systematic Review in TSCA Risk Evaluations</w:t>
      </w:r>
      <w:r w:rsidR="004A4A52">
        <w:rPr>
          <w:rFonts w:ascii="Arial" w:eastAsia="Calibri" w:hAnsi="Arial" w:cs="Arial"/>
          <w:i/>
          <w:sz w:val="20"/>
          <w:szCs w:val="20"/>
        </w:rPr>
        <w:t xml:space="preserve"> </w:t>
      </w:r>
      <w:r w:rsidR="004A4A52" w:rsidRPr="004A4A52">
        <w:rPr>
          <w:rFonts w:ascii="Arial" w:eastAsia="Calibri" w:hAnsi="Arial" w:cs="Arial"/>
          <w:sz w:val="20"/>
          <w:szCs w:val="20"/>
        </w:rPr>
        <w:t>(US EPA, 2018)</w:t>
      </w:r>
      <w:r w:rsidRPr="004A4A52">
        <w:rPr>
          <w:rFonts w:ascii="Arial" w:eastAsia="Calibri" w:hAnsi="Arial" w:cs="Arial"/>
          <w:sz w:val="20"/>
          <w:szCs w:val="20"/>
        </w:rPr>
        <w:t xml:space="preserve">. </w:t>
      </w:r>
      <w:r w:rsidRPr="00412554">
        <w:rPr>
          <w:rFonts w:ascii="Arial" w:eastAsia="Calibri" w:hAnsi="Arial" w:cs="Arial"/>
          <w:sz w:val="20"/>
          <w:szCs w:val="20"/>
        </w:rPr>
        <w:t>This framework involves reviewing and rating studies according to six quality domains (e.g., outcome assessment and exposure characterization), each of which include 2-7 individual metrics assessing specific study features (e.g., temporality of the exposure metric)</w:t>
      </w:r>
      <w:r w:rsidR="00672A33">
        <w:rPr>
          <w:rFonts w:ascii="Arial" w:eastAsia="Calibri" w:hAnsi="Arial" w:cs="Arial"/>
          <w:sz w:val="20"/>
          <w:szCs w:val="20"/>
        </w:rPr>
        <w:t xml:space="preserve"> (Table 1 and 2 below)</w:t>
      </w:r>
      <w:r w:rsidRPr="00412554">
        <w:rPr>
          <w:rFonts w:ascii="Arial" w:eastAsia="Calibri" w:hAnsi="Arial" w:cs="Arial"/>
          <w:sz w:val="20"/>
          <w:szCs w:val="20"/>
        </w:rPr>
        <w:t>. The specific requirements for each quality score (high, medium, low) and for each criterion is tailored to specific study designs (e.g., cohort studies and case-co</w:t>
      </w:r>
      <w:r w:rsidR="008B3A88">
        <w:rPr>
          <w:rFonts w:ascii="Arial" w:eastAsia="Calibri" w:hAnsi="Arial" w:cs="Arial"/>
          <w:sz w:val="20"/>
          <w:szCs w:val="20"/>
        </w:rPr>
        <w:t xml:space="preserve">ntrol/cross-sectional studies). Each study will be reviewed and evaluated for quality by two researchers. </w:t>
      </w:r>
    </w:p>
    <w:p w14:paraId="1DAA1F94" w14:textId="451044E5" w:rsidR="00BE6453" w:rsidRPr="00BE6453" w:rsidRDefault="00BE6453" w:rsidP="00284B7A">
      <w:pPr>
        <w:spacing w:after="180" w:line="240" w:lineRule="atLeast"/>
        <w:ind w:left="1440"/>
        <w:jc w:val="left"/>
        <w:rPr>
          <w:rFonts w:ascii="Arial" w:eastAsia="Calibri" w:hAnsi="Arial" w:cs="Arial"/>
          <w:b/>
          <w:bCs/>
          <w:i/>
          <w:iCs/>
          <w:sz w:val="20"/>
          <w:szCs w:val="20"/>
        </w:rPr>
      </w:pPr>
      <w:r w:rsidRPr="00BE6453">
        <w:rPr>
          <w:rFonts w:ascii="Arial" w:eastAsia="Calibri" w:hAnsi="Arial" w:cs="Arial"/>
          <w:b/>
          <w:bCs/>
          <w:i/>
          <w:iCs/>
          <w:sz w:val="20"/>
          <w:szCs w:val="20"/>
        </w:rPr>
        <w:t xml:space="preserve">Updated Methods (After Quality Evaluation </w:t>
      </w:r>
      <w:r>
        <w:rPr>
          <w:rFonts w:ascii="Arial" w:eastAsia="Calibri" w:hAnsi="Arial" w:cs="Arial"/>
          <w:b/>
          <w:bCs/>
          <w:i/>
          <w:iCs/>
          <w:sz w:val="20"/>
          <w:szCs w:val="20"/>
        </w:rPr>
        <w:t xml:space="preserve">Method </w:t>
      </w:r>
      <w:r w:rsidRPr="00BE6453">
        <w:rPr>
          <w:rFonts w:ascii="Arial" w:eastAsia="Calibri" w:hAnsi="Arial" w:cs="Arial"/>
          <w:b/>
          <w:bCs/>
          <w:i/>
          <w:iCs/>
          <w:sz w:val="20"/>
          <w:szCs w:val="20"/>
        </w:rPr>
        <w:t xml:space="preserve">Piloting) </w:t>
      </w:r>
    </w:p>
    <w:p w14:paraId="29BB5E10" w14:textId="30194457" w:rsidR="00BE6453" w:rsidRDefault="00BE6453" w:rsidP="00BE6453">
      <w:pPr>
        <w:spacing w:after="180" w:line="240" w:lineRule="atLeast"/>
        <w:ind w:left="1440"/>
        <w:jc w:val="left"/>
        <w:rPr>
          <w:rFonts w:ascii="Arial" w:eastAsia="Calibri" w:hAnsi="Arial" w:cs="Arial"/>
          <w:sz w:val="20"/>
          <w:szCs w:val="20"/>
        </w:rPr>
      </w:pPr>
      <w:r w:rsidRPr="00BE6453">
        <w:rPr>
          <w:rFonts w:ascii="Arial" w:eastAsia="Calibri" w:hAnsi="Arial" w:cs="Arial"/>
          <w:sz w:val="20"/>
          <w:szCs w:val="20"/>
        </w:rPr>
        <w:t xml:space="preserve">All metrics in all domains initially were evaluated qualitatively (low, medium, or high). For each study, one investigator assigned a study quality score for each of the domain-specific metrics. Composite domain scores for TSCA domains containing three or more </w:t>
      </w:r>
      <w:r w:rsidRPr="00BE6453">
        <w:rPr>
          <w:rFonts w:ascii="Arial" w:eastAsia="Calibri" w:hAnsi="Arial" w:cs="Arial"/>
          <w:sz w:val="20"/>
          <w:szCs w:val="20"/>
        </w:rPr>
        <w:lastRenderedPageBreak/>
        <w:t xml:space="preserve">sub-domains (Study Participation, Exposure Assessment, Analysis) were determined by identifying the most frequent score across sub-domains. Overall domain scores for Outcome Assessment and Potential Confounding/Variable Control (two sub-domains) were assigned based on the most frequent sub-domain score, the median score (if high and low for two sub-domains), or the lowest score when two scores were adjacent (medium/low or high/medium). A second investigator reviewed the initial study quality scores, and any discrepancies were discussed and adjudicated. When the two investigators were unable to arrive at a consensus, a third reviewer was brought in to mediate any disagreements to arrive at a final determination. </w:t>
      </w:r>
    </w:p>
    <w:p w14:paraId="6630C7F5" w14:textId="587A86C3" w:rsidR="00BE6453" w:rsidRPr="00BE6453" w:rsidRDefault="00BE6453" w:rsidP="00BE6453">
      <w:pPr>
        <w:spacing w:after="180" w:line="240" w:lineRule="atLeast"/>
        <w:ind w:left="1440"/>
        <w:jc w:val="left"/>
        <w:rPr>
          <w:rFonts w:ascii="Arial" w:eastAsia="Calibri" w:hAnsi="Arial" w:cs="Arial"/>
          <w:sz w:val="20"/>
          <w:szCs w:val="20"/>
        </w:rPr>
      </w:pPr>
      <w:r w:rsidRPr="00BE6453">
        <w:rPr>
          <w:rFonts w:ascii="Arial" w:eastAsia="Calibri" w:hAnsi="Arial" w:cs="Arial"/>
          <w:sz w:val="20"/>
          <w:szCs w:val="20"/>
        </w:rPr>
        <w:t xml:space="preserve">Overall quality scores for each study were determined separately for case-control and cohort studies using a tiered approach in which the exposure characterization domain was initially evaluated; depending on whether this domain was sufficiently reasonably fulfilled (either medium or high-quality rating), Tier 2 included a weighing of scores on the remaining TSCA domains (see Supplemental Figures 1-2). TSCA guidelines dictate that an occupational cohort study contain detailed employment information facilitating the construction of a JEM, include a range and distribution of exposure sufficient to develop an exposure-response relationship, and establish an appropriate temporality between exposure and outcome </w:t>
      </w:r>
      <w:r w:rsidRPr="00BE6453">
        <w:rPr>
          <w:rFonts w:ascii="Arial" w:eastAsia="Calibri" w:hAnsi="Arial" w:cs="Arial"/>
          <w:sz w:val="20"/>
          <w:szCs w:val="20"/>
        </w:rPr>
        <w:fldChar w:fldCharType="begin"/>
      </w:r>
      <w:r w:rsidRPr="00BE6453">
        <w:rPr>
          <w:rFonts w:ascii="Arial" w:eastAsia="Calibri" w:hAnsi="Arial" w:cs="Arial"/>
          <w:sz w:val="20"/>
          <w:szCs w:val="20"/>
        </w:rPr>
        <w:instrText xml:space="preserve"> ADDIN EN.CITE &lt;EndNote&gt;&lt;Cite&gt;&lt;Author&gt;EPA&lt;/Author&gt;&lt;Year&gt;2018&lt;/Year&gt;&lt;RecNum&gt;94&lt;/RecNum&gt;&lt;DisplayText&gt;(EPA 2018)&lt;/DisplayText&gt;&lt;record&gt;&lt;rec-number&gt;94&lt;/rec-number&gt;&lt;foreign-keys&gt;&lt;key app="EN" db-id="sdztw0esc2efd4e9pfbpeswzwdd9efvps5d9" timestamp="1634233428"&gt;94&lt;/key&gt;&lt;/foreign-keys&gt;&lt;ref-type name="Generic"&gt;13&lt;/ref-type&gt;&lt;contributors&gt;&lt;authors&gt;&lt;author&gt;EPA&lt;/author&gt;&lt;/authors&gt;&lt;/contributors&gt;&lt;titles&gt;&lt;title&gt;Application of Systematic Review in TSCA Risk Evaluations. EPA Document # 740-P1-8001 &lt;/title&gt;&lt;/titles&gt;&lt;dates&gt;&lt;year&gt;2018&lt;/year&gt;&lt;/dates&gt;&lt;pub-location&gt;Washington, D.C.&lt;/pub-location&gt;&lt;publisher&gt;Office of Chemical Safety and Pollution Prevention-U.S. Environmental Protection Agency (EPA)&lt;/publisher&gt;&lt;urls&gt;&lt;/urls&gt;&lt;/record&gt;&lt;/Cite&gt;&lt;/EndNote&gt;</w:instrText>
      </w:r>
      <w:r w:rsidRPr="00BE6453">
        <w:rPr>
          <w:rFonts w:ascii="Arial" w:eastAsia="Calibri" w:hAnsi="Arial" w:cs="Arial"/>
          <w:sz w:val="20"/>
          <w:szCs w:val="20"/>
        </w:rPr>
        <w:fldChar w:fldCharType="separate"/>
      </w:r>
      <w:r w:rsidRPr="00BE6453">
        <w:rPr>
          <w:rFonts w:ascii="Arial" w:eastAsia="Calibri" w:hAnsi="Arial" w:cs="Arial"/>
          <w:sz w:val="20"/>
          <w:szCs w:val="20"/>
        </w:rPr>
        <w:t>(</w:t>
      </w:r>
      <w:hyperlink w:anchor="_ENREF_29" w:tooltip="EPA, 2018 #94" w:history="1">
        <w:r w:rsidRPr="00BE6453">
          <w:rPr>
            <w:rStyle w:val="Hyperlink"/>
            <w:rFonts w:ascii="Arial" w:eastAsia="Calibri" w:hAnsi="Arial" w:cs="Arial"/>
            <w:sz w:val="20"/>
            <w:szCs w:val="20"/>
          </w:rPr>
          <w:t>EPA 2018</w:t>
        </w:r>
      </w:hyperlink>
      <w:r w:rsidRPr="00BE6453">
        <w:rPr>
          <w:rFonts w:ascii="Arial" w:eastAsia="Calibri" w:hAnsi="Arial" w:cs="Arial"/>
          <w:sz w:val="20"/>
          <w:szCs w:val="20"/>
        </w:rPr>
        <w:t>)</w:t>
      </w:r>
      <w:r w:rsidRPr="00BE6453">
        <w:rPr>
          <w:rFonts w:ascii="Arial" w:eastAsia="Calibri" w:hAnsi="Arial" w:cs="Arial"/>
          <w:sz w:val="20"/>
          <w:szCs w:val="20"/>
        </w:rPr>
        <w:fldChar w:fldCharType="end"/>
      </w:r>
      <w:r>
        <w:rPr>
          <w:rFonts w:ascii="Arial" w:eastAsia="Calibri" w:hAnsi="Arial" w:cs="Arial"/>
          <w:sz w:val="20"/>
          <w:szCs w:val="20"/>
        </w:rPr>
        <w:t xml:space="preserve">. This tiered approach was adapted from the optional tiered approach presented in the National Toxicology Program (NTP) Office of Health Assessment and Translation (OHAT) </w:t>
      </w:r>
      <w:r w:rsidRPr="00BE6453">
        <w:rPr>
          <w:rFonts w:ascii="Arial" w:eastAsia="Calibri" w:hAnsi="Arial" w:cs="Arial"/>
          <w:i/>
          <w:iCs/>
          <w:sz w:val="20"/>
          <w:szCs w:val="20"/>
        </w:rPr>
        <w:t>Handbook for Conducting a Literature-Based Health Assessment Using OHAT Approach for Systematic Review and Evidence Integration</w:t>
      </w:r>
      <w:r w:rsidRPr="00BE6453">
        <w:rPr>
          <w:rFonts w:ascii="Arial" w:eastAsia="Calibri" w:hAnsi="Arial" w:cs="Arial"/>
          <w:sz w:val="20"/>
          <w:szCs w:val="20"/>
        </w:rPr>
        <w:t xml:space="preserve"> (see Table 6, page 39</w:t>
      </w:r>
      <w:r>
        <w:rPr>
          <w:rFonts w:ascii="Arial" w:eastAsia="Calibri" w:hAnsi="Arial" w:cs="Arial"/>
          <w:sz w:val="20"/>
          <w:szCs w:val="20"/>
        </w:rPr>
        <w:t xml:space="preserve"> of OHAT, 2019</w:t>
      </w:r>
      <w:r w:rsidRPr="00BE6453">
        <w:rPr>
          <w:rFonts w:ascii="Arial" w:eastAsia="Calibri" w:hAnsi="Arial" w:cs="Arial"/>
          <w:sz w:val="20"/>
          <w:szCs w:val="20"/>
        </w:rPr>
        <w:t xml:space="preserve">). </w:t>
      </w:r>
    </w:p>
    <w:p w14:paraId="1BAAD35E" w14:textId="77777777" w:rsidR="00BE6453" w:rsidRPr="00BE6453" w:rsidRDefault="00BE6453" w:rsidP="00BE6453">
      <w:pPr>
        <w:spacing w:after="180" w:line="240" w:lineRule="atLeast"/>
        <w:ind w:left="1440"/>
        <w:jc w:val="left"/>
        <w:rPr>
          <w:rFonts w:ascii="Arial" w:eastAsia="Calibri" w:hAnsi="Arial" w:cs="Arial"/>
          <w:sz w:val="20"/>
          <w:szCs w:val="20"/>
        </w:rPr>
      </w:pPr>
    </w:p>
    <w:p w14:paraId="62842CDE" w14:textId="77777777" w:rsidR="00BE6453" w:rsidRPr="00412554" w:rsidRDefault="00BE6453" w:rsidP="00284B7A">
      <w:pPr>
        <w:spacing w:after="180" w:line="240" w:lineRule="atLeast"/>
        <w:ind w:left="1440"/>
        <w:jc w:val="left"/>
        <w:rPr>
          <w:rFonts w:ascii="Arial" w:eastAsia="Calibri" w:hAnsi="Arial" w:cs="Arial"/>
          <w:sz w:val="20"/>
          <w:szCs w:val="20"/>
        </w:rPr>
      </w:pPr>
    </w:p>
    <w:p w14:paraId="6EBD225E" w14:textId="77777777" w:rsidR="00986C72" w:rsidRPr="00412554" w:rsidRDefault="00986C72" w:rsidP="00986C72">
      <w:pPr>
        <w:spacing w:after="160" w:line="259" w:lineRule="auto"/>
        <w:jc w:val="left"/>
        <w:rPr>
          <w:rFonts w:ascii="Arial" w:eastAsia="Calibri" w:hAnsi="Arial" w:cs="Arial"/>
          <w:b/>
          <w:sz w:val="20"/>
          <w:szCs w:val="20"/>
        </w:rPr>
      </w:pPr>
      <w:r w:rsidRPr="00412554">
        <w:rPr>
          <w:rFonts w:ascii="Arial" w:eastAsia="Calibri" w:hAnsi="Arial" w:cs="Arial"/>
          <w:b/>
          <w:sz w:val="20"/>
          <w:szCs w:val="20"/>
        </w:rPr>
        <w:br w:type="page"/>
      </w:r>
    </w:p>
    <w:p w14:paraId="68DC5D3E" w14:textId="5D56F5B5" w:rsidR="00986C72" w:rsidRPr="00412554" w:rsidRDefault="00986C72" w:rsidP="00986C72">
      <w:pPr>
        <w:spacing w:after="40" w:line="240" w:lineRule="atLeast"/>
        <w:jc w:val="left"/>
        <w:rPr>
          <w:rFonts w:ascii="Arial" w:eastAsia="Calibri" w:hAnsi="Arial" w:cs="Arial"/>
          <w:b/>
          <w:sz w:val="20"/>
          <w:szCs w:val="20"/>
        </w:rPr>
      </w:pPr>
      <w:r w:rsidRPr="00412554">
        <w:rPr>
          <w:rFonts w:ascii="Arial" w:eastAsia="Calibri" w:hAnsi="Arial" w:cs="Arial"/>
          <w:b/>
          <w:sz w:val="20"/>
          <w:szCs w:val="20"/>
        </w:rPr>
        <w:lastRenderedPageBreak/>
        <w:t xml:space="preserve">Table 1.   Epidemiological Study Quality and Relevance in TSCA </w:t>
      </w:r>
      <w:r w:rsidR="004A4A52">
        <w:rPr>
          <w:rFonts w:ascii="Arial" w:eastAsia="Calibri" w:hAnsi="Arial" w:cs="Arial"/>
          <w:b/>
          <w:sz w:val="20"/>
          <w:szCs w:val="20"/>
        </w:rPr>
        <w:t xml:space="preserve"> </w:t>
      </w:r>
    </w:p>
    <w:tbl>
      <w:tblPr>
        <w:tblStyle w:val="TableGrid2"/>
        <w:tblW w:w="9355" w:type="dxa"/>
        <w:tblLook w:val="04A0" w:firstRow="1" w:lastRow="0" w:firstColumn="1" w:lastColumn="0" w:noHBand="0" w:noVBand="1"/>
      </w:tblPr>
      <w:tblGrid>
        <w:gridCol w:w="1975"/>
        <w:gridCol w:w="7380"/>
      </w:tblGrid>
      <w:tr w:rsidR="004A4A52" w:rsidRPr="00412554" w14:paraId="7B89B714" w14:textId="77777777" w:rsidTr="004A4A52">
        <w:trPr>
          <w:cantSplit/>
          <w:trHeight w:val="681"/>
          <w:tblHeader/>
        </w:trPr>
        <w:tc>
          <w:tcPr>
            <w:tcW w:w="1975" w:type="dxa"/>
            <w:shd w:val="clear" w:color="auto" w:fill="DEEAF6" w:themeFill="accent1" w:themeFillTint="33"/>
            <w:vAlign w:val="bottom"/>
          </w:tcPr>
          <w:p w14:paraId="68F1FF58" w14:textId="77777777" w:rsidR="004A4A52" w:rsidRPr="00412554" w:rsidRDefault="004A4A52" w:rsidP="009B32B5">
            <w:pPr>
              <w:spacing w:line="240" w:lineRule="atLeast"/>
              <w:jc w:val="left"/>
              <w:rPr>
                <w:rFonts w:ascii="Arial" w:eastAsia="Calibri" w:hAnsi="Arial" w:cs="Arial"/>
                <w:b/>
                <w:sz w:val="18"/>
                <w:szCs w:val="20"/>
              </w:rPr>
            </w:pPr>
            <w:r w:rsidRPr="00412554">
              <w:rPr>
                <w:rFonts w:ascii="Arial" w:eastAsia="Calibri" w:hAnsi="Arial" w:cs="Arial"/>
                <w:b/>
                <w:sz w:val="18"/>
                <w:szCs w:val="20"/>
              </w:rPr>
              <w:t>TSCA Domain</w:t>
            </w:r>
          </w:p>
        </w:tc>
        <w:tc>
          <w:tcPr>
            <w:tcW w:w="7380" w:type="dxa"/>
            <w:shd w:val="clear" w:color="auto" w:fill="DEEAF6" w:themeFill="accent1" w:themeFillTint="33"/>
            <w:vAlign w:val="bottom"/>
          </w:tcPr>
          <w:p w14:paraId="26DDBB6C" w14:textId="77777777" w:rsidR="004A4A52" w:rsidRPr="00412554" w:rsidRDefault="004A4A52" w:rsidP="009B32B5">
            <w:pPr>
              <w:spacing w:line="240" w:lineRule="atLeast"/>
              <w:jc w:val="left"/>
              <w:rPr>
                <w:rFonts w:ascii="Arial" w:eastAsia="Calibri" w:hAnsi="Arial" w:cs="Arial"/>
                <w:b/>
                <w:sz w:val="18"/>
                <w:szCs w:val="20"/>
              </w:rPr>
            </w:pPr>
            <w:r w:rsidRPr="00412554">
              <w:rPr>
                <w:rFonts w:ascii="Arial" w:eastAsia="Calibri" w:hAnsi="Arial" w:cs="Arial"/>
                <w:b/>
                <w:sz w:val="18"/>
                <w:szCs w:val="20"/>
              </w:rPr>
              <w:t>Metrics Included</w:t>
            </w:r>
          </w:p>
        </w:tc>
      </w:tr>
      <w:tr w:rsidR="004A4A52" w:rsidRPr="00412554" w14:paraId="7E83C057" w14:textId="77777777" w:rsidTr="004A4A52">
        <w:trPr>
          <w:trHeight w:val="660"/>
        </w:trPr>
        <w:tc>
          <w:tcPr>
            <w:tcW w:w="1975" w:type="dxa"/>
          </w:tcPr>
          <w:p w14:paraId="6D416B2E"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Study participation</w:t>
            </w:r>
          </w:p>
        </w:tc>
        <w:tc>
          <w:tcPr>
            <w:tcW w:w="7380" w:type="dxa"/>
          </w:tcPr>
          <w:p w14:paraId="01B9B9BA"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 xml:space="preserve">Evaluation of </w:t>
            </w:r>
            <w:proofErr w:type="gramStart"/>
            <w:r w:rsidRPr="00412554">
              <w:rPr>
                <w:rFonts w:ascii="Arial" w:eastAsia="Calibri" w:hAnsi="Arial" w:cs="Arial"/>
                <w:sz w:val="18"/>
                <w:szCs w:val="20"/>
              </w:rPr>
              <w:t>participant  selection</w:t>
            </w:r>
            <w:proofErr w:type="gramEnd"/>
            <w:r w:rsidRPr="00412554">
              <w:rPr>
                <w:rFonts w:ascii="Arial" w:eastAsia="Calibri" w:hAnsi="Arial" w:cs="Arial"/>
                <w:sz w:val="18"/>
                <w:szCs w:val="20"/>
              </w:rPr>
              <w:t xml:space="preserve"> methods, attrition,  adequacy of the comparison group, performance bias</w:t>
            </w:r>
          </w:p>
        </w:tc>
      </w:tr>
      <w:tr w:rsidR="004A4A52" w:rsidRPr="00412554" w14:paraId="609BA63F" w14:textId="77777777" w:rsidTr="004A4A52">
        <w:trPr>
          <w:trHeight w:val="681"/>
        </w:trPr>
        <w:tc>
          <w:tcPr>
            <w:tcW w:w="1975" w:type="dxa"/>
            <w:vAlign w:val="center"/>
          </w:tcPr>
          <w:p w14:paraId="1F76C47D"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Exposure Characterization</w:t>
            </w:r>
          </w:p>
        </w:tc>
        <w:tc>
          <w:tcPr>
            <w:tcW w:w="7380" w:type="dxa"/>
          </w:tcPr>
          <w:p w14:paraId="2A5CC50E"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 xml:space="preserve">Evaluation of reporting and adequacy of exposure measurement methods, exposure levels </w:t>
            </w:r>
          </w:p>
        </w:tc>
      </w:tr>
      <w:tr w:rsidR="004A4A52" w:rsidRPr="00412554" w14:paraId="541CA6D8" w14:textId="77777777" w:rsidTr="004A4A52">
        <w:trPr>
          <w:trHeight w:val="681"/>
        </w:trPr>
        <w:tc>
          <w:tcPr>
            <w:tcW w:w="1975" w:type="dxa"/>
            <w:vAlign w:val="center"/>
          </w:tcPr>
          <w:p w14:paraId="4E459E7F"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Outcome Assessment</w:t>
            </w:r>
          </w:p>
        </w:tc>
        <w:tc>
          <w:tcPr>
            <w:tcW w:w="7380" w:type="dxa"/>
          </w:tcPr>
          <w:p w14:paraId="5FDE3F48"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 xml:space="preserve">Evaluation of effect assessment methodology and reporting, including diagnostic methods, interview training, data sources (e.g., registries), and blinding </w:t>
            </w:r>
          </w:p>
        </w:tc>
      </w:tr>
      <w:tr w:rsidR="004A4A52" w:rsidRPr="00412554" w14:paraId="7DCA6DF1" w14:textId="77777777" w:rsidTr="004A4A52">
        <w:trPr>
          <w:trHeight w:val="660"/>
        </w:trPr>
        <w:tc>
          <w:tcPr>
            <w:tcW w:w="1975" w:type="dxa"/>
            <w:vAlign w:val="center"/>
          </w:tcPr>
          <w:p w14:paraId="6A399C09"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Potential Confounding / Variability Control</w:t>
            </w:r>
          </w:p>
        </w:tc>
        <w:tc>
          <w:tcPr>
            <w:tcW w:w="7380" w:type="dxa"/>
          </w:tcPr>
          <w:p w14:paraId="3F23F0DE"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 xml:space="preserve">Evaluation of methodology and reporting of efforts to reduce research-specific bias, including matching, adjustment in multivariate models (including co-exposures, as relevant), stratification, etc. </w:t>
            </w:r>
          </w:p>
        </w:tc>
      </w:tr>
      <w:tr w:rsidR="004A4A52" w:rsidRPr="00412554" w14:paraId="15A2E07B" w14:textId="77777777" w:rsidTr="004A4A52">
        <w:trPr>
          <w:trHeight w:val="596"/>
        </w:trPr>
        <w:tc>
          <w:tcPr>
            <w:tcW w:w="1975" w:type="dxa"/>
            <w:vAlign w:val="center"/>
          </w:tcPr>
          <w:p w14:paraId="59E8B734"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Analysis</w:t>
            </w:r>
          </w:p>
        </w:tc>
        <w:tc>
          <w:tcPr>
            <w:tcW w:w="7380" w:type="dxa"/>
          </w:tcPr>
          <w:p w14:paraId="4FC91B15"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Evaluation of study design in terms of relevance to research question, as well as consideration of statistical power, reproducibility, statistical/modeling approaches</w:t>
            </w:r>
          </w:p>
        </w:tc>
      </w:tr>
      <w:tr w:rsidR="004A4A52" w:rsidRPr="00412554" w14:paraId="14ABD836" w14:textId="77777777" w:rsidTr="004A4A52">
        <w:trPr>
          <w:trHeight w:val="575"/>
        </w:trPr>
        <w:tc>
          <w:tcPr>
            <w:tcW w:w="1975" w:type="dxa"/>
            <w:vAlign w:val="center"/>
          </w:tcPr>
          <w:p w14:paraId="248A85C2"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Other / Consideration for Biomarker Selection and Measurement</w:t>
            </w:r>
          </w:p>
        </w:tc>
        <w:tc>
          <w:tcPr>
            <w:tcW w:w="7380" w:type="dxa"/>
          </w:tcPr>
          <w:p w14:paraId="713A2A5B"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Specific to studies with biomarkers; includes considerations of storage and stability of samples, methods, and relationship of biomarker to external exposure or apical effects (for exposure and outcome biomarkers, respectively)</w:t>
            </w:r>
          </w:p>
        </w:tc>
      </w:tr>
    </w:tbl>
    <w:p w14:paraId="183BD46A" w14:textId="77777777" w:rsidR="004A4A52" w:rsidRDefault="004A4A52" w:rsidP="00986C72">
      <w:pPr>
        <w:keepNext/>
        <w:spacing w:after="40" w:line="240" w:lineRule="atLeast"/>
        <w:jc w:val="left"/>
        <w:rPr>
          <w:rFonts w:ascii="Arial" w:eastAsia="Calibri" w:hAnsi="Arial" w:cs="Arial"/>
          <w:b/>
          <w:sz w:val="20"/>
          <w:szCs w:val="20"/>
        </w:rPr>
      </w:pPr>
    </w:p>
    <w:p w14:paraId="4B7D865C" w14:textId="44C87CAC" w:rsidR="00986C72" w:rsidRPr="00412554" w:rsidRDefault="00986C72" w:rsidP="00986C72">
      <w:pPr>
        <w:keepNext/>
        <w:spacing w:after="40" w:line="240" w:lineRule="atLeast"/>
        <w:jc w:val="left"/>
        <w:rPr>
          <w:rFonts w:ascii="Arial" w:eastAsia="Calibri" w:hAnsi="Arial" w:cs="Arial"/>
          <w:b/>
          <w:sz w:val="20"/>
          <w:szCs w:val="20"/>
        </w:rPr>
      </w:pPr>
      <w:r w:rsidRPr="00412554">
        <w:rPr>
          <w:rFonts w:ascii="Arial" w:eastAsia="Calibri" w:hAnsi="Arial" w:cs="Arial"/>
          <w:b/>
          <w:sz w:val="20"/>
          <w:szCs w:val="20"/>
        </w:rPr>
        <w:t>Table 2.   Experimental Animal Study Qu</w:t>
      </w:r>
      <w:r w:rsidR="00792846">
        <w:rPr>
          <w:rFonts w:ascii="Arial" w:eastAsia="Calibri" w:hAnsi="Arial" w:cs="Arial"/>
          <w:b/>
          <w:sz w:val="20"/>
          <w:szCs w:val="20"/>
        </w:rPr>
        <w:t xml:space="preserve">ality and Relevance in TSCA </w:t>
      </w:r>
    </w:p>
    <w:tbl>
      <w:tblPr>
        <w:tblStyle w:val="TableGrid2"/>
        <w:tblW w:w="9355" w:type="dxa"/>
        <w:tblLook w:val="04A0" w:firstRow="1" w:lastRow="0" w:firstColumn="1" w:lastColumn="0" w:noHBand="0" w:noVBand="1"/>
      </w:tblPr>
      <w:tblGrid>
        <w:gridCol w:w="1975"/>
        <w:gridCol w:w="7380"/>
      </w:tblGrid>
      <w:tr w:rsidR="004A4A52" w:rsidRPr="00412554" w14:paraId="4ED651AB" w14:textId="77777777" w:rsidTr="008E2DE6">
        <w:trPr>
          <w:cantSplit/>
          <w:trHeight w:val="681"/>
          <w:tblHeader/>
        </w:trPr>
        <w:tc>
          <w:tcPr>
            <w:tcW w:w="1975" w:type="dxa"/>
            <w:shd w:val="clear" w:color="auto" w:fill="DEEAF6" w:themeFill="accent1" w:themeFillTint="33"/>
            <w:vAlign w:val="bottom"/>
          </w:tcPr>
          <w:p w14:paraId="299865DE" w14:textId="77777777" w:rsidR="004A4A52" w:rsidRPr="00412554" w:rsidRDefault="004A4A52" w:rsidP="009B32B5">
            <w:pPr>
              <w:spacing w:line="240" w:lineRule="atLeast"/>
              <w:jc w:val="left"/>
              <w:rPr>
                <w:rFonts w:ascii="Arial" w:eastAsia="Calibri" w:hAnsi="Arial" w:cs="Arial"/>
                <w:b/>
                <w:sz w:val="18"/>
                <w:szCs w:val="20"/>
              </w:rPr>
            </w:pPr>
            <w:r w:rsidRPr="00412554">
              <w:rPr>
                <w:rFonts w:ascii="Arial" w:eastAsia="Calibri" w:hAnsi="Arial" w:cs="Arial"/>
                <w:b/>
                <w:sz w:val="18"/>
                <w:szCs w:val="20"/>
              </w:rPr>
              <w:t>TSCA Domain</w:t>
            </w:r>
          </w:p>
        </w:tc>
        <w:tc>
          <w:tcPr>
            <w:tcW w:w="7380" w:type="dxa"/>
            <w:shd w:val="clear" w:color="auto" w:fill="DEEAF6" w:themeFill="accent1" w:themeFillTint="33"/>
            <w:vAlign w:val="bottom"/>
          </w:tcPr>
          <w:p w14:paraId="5688C572" w14:textId="77777777" w:rsidR="004A4A52" w:rsidRPr="00412554" w:rsidRDefault="004A4A52" w:rsidP="009B32B5">
            <w:pPr>
              <w:spacing w:line="240" w:lineRule="atLeast"/>
              <w:jc w:val="left"/>
              <w:rPr>
                <w:rFonts w:ascii="Arial" w:eastAsia="Calibri" w:hAnsi="Arial" w:cs="Arial"/>
                <w:b/>
                <w:sz w:val="18"/>
                <w:szCs w:val="20"/>
              </w:rPr>
            </w:pPr>
            <w:r w:rsidRPr="00412554">
              <w:rPr>
                <w:rFonts w:ascii="Arial" w:eastAsia="Calibri" w:hAnsi="Arial" w:cs="Arial"/>
                <w:b/>
                <w:sz w:val="18"/>
                <w:szCs w:val="20"/>
              </w:rPr>
              <w:t>Metrics Included</w:t>
            </w:r>
          </w:p>
        </w:tc>
      </w:tr>
      <w:tr w:rsidR="004A4A52" w:rsidRPr="00412554" w14:paraId="42D946C1" w14:textId="77777777" w:rsidTr="008E2DE6">
        <w:trPr>
          <w:trHeight w:val="660"/>
        </w:trPr>
        <w:tc>
          <w:tcPr>
            <w:tcW w:w="1975" w:type="dxa"/>
          </w:tcPr>
          <w:p w14:paraId="0F07F5E0"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Test Substance</w:t>
            </w:r>
          </w:p>
        </w:tc>
        <w:tc>
          <w:tcPr>
            <w:tcW w:w="7380" w:type="dxa"/>
            <w:vAlign w:val="center"/>
          </w:tcPr>
          <w:p w14:paraId="3F70434E"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Evaluation of the identity, purity, and properties of the test substance</w:t>
            </w:r>
          </w:p>
        </w:tc>
      </w:tr>
      <w:tr w:rsidR="004A4A52" w:rsidRPr="00412554" w14:paraId="400B7549" w14:textId="77777777" w:rsidTr="008E2DE6">
        <w:trPr>
          <w:trHeight w:val="681"/>
        </w:trPr>
        <w:tc>
          <w:tcPr>
            <w:tcW w:w="1975" w:type="dxa"/>
            <w:vAlign w:val="center"/>
          </w:tcPr>
          <w:p w14:paraId="247C41F7"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 xml:space="preserve">Test Design </w:t>
            </w:r>
          </w:p>
        </w:tc>
        <w:tc>
          <w:tcPr>
            <w:tcW w:w="7380" w:type="dxa"/>
            <w:vAlign w:val="center"/>
          </w:tcPr>
          <w:p w14:paraId="4DFB7121"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 xml:space="preserve">Evaluation of whether the design enables the study to distinguish the effect of exposure from other factors; includes randomization and use of controls </w:t>
            </w:r>
          </w:p>
        </w:tc>
      </w:tr>
      <w:tr w:rsidR="004A4A52" w:rsidRPr="00412554" w14:paraId="0E9C0D0C" w14:textId="77777777" w:rsidTr="008E2DE6">
        <w:trPr>
          <w:trHeight w:val="681"/>
        </w:trPr>
        <w:tc>
          <w:tcPr>
            <w:tcW w:w="1975" w:type="dxa"/>
            <w:vAlign w:val="center"/>
          </w:tcPr>
          <w:p w14:paraId="129F36E8"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Exposure Characterization</w:t>
            </w:r>
          </w:p>
        </w:tc>
        <w:tc>
          <w:tcPr>
            <w:tcW w:w="7380" w:type="dxa"/>
            <w:vAlign w:val="center"/>
          </w:tcPr>
          <w:p w14:paraId="010A1D67"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 xml:space="preserve">Evaluation of reporting and adequacy of exposure measurement methods, exposure levels </w:t>
            </w:r>
          </w:p>
        </w:tc>
      </w:tr>
      <w:tr w:rsidR="004A4A52" w:rsidRPr="00412554" w14:paraId="66BFE772" w14:textId="77777777" w:rsidTr="008E2DE6">
        <w:trPr>
          <w:trHeight w:val="681"/>
        </w:trPr>
        <w:tc>
          <w:tcPr>
            <w:tcW w:w="1975" w:type="dxa"/>
            <w:vAlign w:val="center"/>
          </w:tcPr>
          <w:p w14:paraId="13AD38B0"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Test Organism/Test Model</w:t>
            </w:r>
          </w:p>
        </w:tc>
        <w:tc>
          <w:tcPr>
            <w:tcW w:w="7380" w:type="dxa"/>
            <w:vAlign w:val="center"/>
          </w:tcPr>
          <w:p w14:paraId="77647BAB"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 xml:space="preserve">Evaluation of the animal model selected, number of animals, animal housing conditions, etc. </w:t>
            </w:r>
          </w:p>
        </w:tc>
      </w:tr>
      <w:tr w:rsidR="004A4A52" w:rsidRPr="00412554" w14:paraId="0D343E5B" w14:textId="77777777" w:rsidTr="008E2DE6">
        <w:trPr>
          <w:trHeight w:val="681"/>
        </w:trPr>
        <w:tc>
          <w:tcPr>
            <w:tcW w:w="1975" w:type="dxa"/>
            <w:vAlign w:val="center"/>
          </w:tcPr>
          <w:p w14:paraId="6B1F008A"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Outcome Assessment</w:t>
            </w:r>
          </w:p>
        </w:tc>
        <w:tc>
          <w:tcPr>
            <w:tcW w:w="7380" w:type="dxa"/>
            <w:vAlign w:val="center"/>
          </w:tcPr>
          <w:p w14:paraId="1F649F34"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 xml:space="preserve">Evaluation of effect assessment methodology and reporting </w:t>
            </w:r>
          </w:p>
        </w:tc>
      </w:tr>
      <w:tr w:rsidR="004A4A52" w:rsidRPr="00412554" w14:paraId="4F029259" w14:textId="77777777" w:rsidTr="008E2DE6">
        <w:trPr>
          <w:trHeight w:val="660"/>
        </w:trPr>
        <w:tc>
          <w:tcPr>
            <w:tcW w:w="1975" w:type="dxa"/>
            <w:vAlign w:val="center"/>
          </w:tcPr>
          <w:p w14:paraId="2848F437"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Confounding / Variability Control</w:t>
            </w:r>
          </w:p>
        </w:tc>
        <w:tc>
          <w:tcPr>
            <w:tcW w:w="7380" w:type="dxa"/>
            <w:vAlign w:val="center"/>
          </w:tcPr>
          <w:p w14:paraId="11CD9C94"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 xml:space="preserve">Evaluation of whether experimental or analytical methods were used to control factors unrelated to exposure that could affect outcome (e.g., infections in the animal colony)  </w:t>
            </w:r>
          </w:p>
        </w:tc>
      </w:tr>
      <w:tr w:rsidR="004A4A52" w:rsidRPr="00412554" w14:paraId="00D1FF59" w14:textId="77777777" w:rsidTr="008E2DE6">
        <w:trPr>
          <w:trHeight w:val="596"/>
        </w:trPr>
        <w:tc>
          <w:tcPr>
            <w:tcW w:w="1975" w:type="dxa"/>
            <w:vAlign w:val="center"/>
          </w:tcPr>
          <w:p w14:paraId="30B55226"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Data Presentation and Analysis</w:t>
            </w:r>
          </w:p>
        </w:tc>
        <w:tc>
          <w:tcPr>
            <w:tcW w:w="7380" w:type="dxa"/>
            <w:vAlign w:val="center"/>
          </w:tcPr>
          <w:p w14:paraId="371D5246" w14:textId="77777777" w:rsidR="004A4A52" w:rsidRPr="00412554" w:rsidRDefault="004A4A52" w:rsidP="009B32B5">
            <w:pPr>
              <w:spacing w:before="40" w:after="40" w:line="240" w:lineRule="atLeast"/>
              <w:jc w:val="left"/>
              <w:rPr>
                <w:rFonts w:ascii="Arial" w:eastAsia="Calibri" w:hAnsi="Arial" w:cs="Arial"/>
                <w:sz w:val="18"/>
                <w:szCs w:val="20"/>
              </w:rPr>
            </w:pPr>
            <w:r w:rsidRPr="00412554">
              <w:rPr>
                <w:rFonts w:ascii="Arial" w:eastAsia="Calibri" w:hAnsi="Arial" w:cs="Arial"/>
                <w:sz w:val="18"/>
                <w:szCs w:val="20"/>
              </w:rPr>
              <w:t>Evaluation of the appropriateness of statistical methods and reporting of all outcomes</w:t>
            </w:r>
          </w:p>
        </w:tc>
      </w:tr>
    </w:tbl>
    <w:p w14:paraId="133DB6B4" w14:textId="77777777" w:rsidR="00986C72" w:rsidRPr="00412554" w:rsidRDefault="00986C72" w:rsidP="00986C72">
      <w:pPr>
        <w:spacing w:after="180" w:line="240" w:lineRule="atLeast"/>
        <w:jc w:val="left"/>
        <w:rPr>
          <w:rFonts w:ascii="Arial" w:eastAsia="Calibri" w:hAnsi="Arial" w:cs="Arial"/>
          <w:sz w:val="20"/>
          <w:szCs w:val="20"/>
        </w:rPr>
      </w:pPr>
    </w:p>
    <w:p w14:paraId="4196C1CD" w14:textId="4B0FE106" w:rsidR="00986C72" w:rsidRDefault="004A4A52" w:rsidP="009F1455">
      <w:pPr>
        <w:spacing w:after="180" w:line="240" w:lineRule="atLeast"/>
        <w:ind w:left="1440"/>
        <w:jc w:val="left"/>
        <w:rPr>
          <w:rFonts w:ascii="Arial" w:eastAsia="Calibri" w:hAnsi="Arial" w:cs="Arial"/>
          <w:sz w:val="20"/>
          <w:szCs w:val="20"/>
        </w:rPr>
      </w:pPr>
      <w:r>
        <w:rPr>
          <w:rFonts w:ascii="Arial" w:eastAsia="Calibri" w:hAnsi="Arial" w:cs="Arial"/>
          <w:sz w:val="20"/>
          <w:szCs w:val="20"/>
        </w:rPr>
        <w:t xml:space="preserve">This analysis will not include the full </w:t>
      </w:r>
      <w:r w:rsidR="00986C72" w:rsidRPr="00412554">
        <w:rPr>
          <w:rFonts w:ascii="Arial" w:eastAsia="Calibri" w:hAnsi="Arial" w:cs="Arial"/>
          <w:sz w:val="20"/>
          <w:szCs w:val="20"/>
        </w:rPr>
        <w:t xml:space="preserve">numerical scoring schema as presented in the TSCA guidance document, as it tends not to afford adequate weight to the most important domains (e.g., exposure and adequate consideration of other risk factors as confounders). From our experience, under the current framework, significant flaws in one </w:t>
      </w:r>
      <w:r w:rsidR="00986C72" w:rsidRPr="00412554">
        <w:rPr>
          <w:rFonts w:ascii="Arial" w:eastAsia="Calibri" w:hAnsi="Arial" w:cs="Arial"/>
          <w:sz w:val="20"/>
          <w:szCs w:val="20"/>
        </w:rPr>
        <w:lastRenderedPageBreak/>
        <w:t xml:space="preserve">of the key domains in an otherwise </w:t>
      </w:r>
      <w:r w:rsidR="005B56C5" w:rsidRPr="00412554">
        <w:rPr>
          <w:rFonts w:ascii="Arial" w:eastAsia="Calibri" w:hAnsi="Arial" w:cs="Arial"/>
          <w:sz w:val="20"/>
          <w:szCs w:val="20"/>
        </w:rPr>
        <w:t>highly rated</w:t>
      </w:r>
      <w:r w:rsidR="00986C72" w:rsidRPr="00412554">
        <w:rPr>
          <w:rFonts w:ascii="Arial" w:eastAsia="Calibri" w:hAnsi="Arial" w:cs="Arial"/>
          <w:sz w:val="20"/>
          <w:szCs w:val="20"/>
        </w:rPr>
        <w:t xml:space="preserve"> study will not eliminate that study from the higher-quality category.</w:t>
      </w:r>
    </w:p>
    <w:p w14:paraId="1AF29F19" w14:textId="104CFAA8" w:rsidR="00E938D3" w:rsidRPr="00412554" w:rsidRDefault="00E938D3" w:rsidP="009F1455">
      <w:pPr>
        <w:spacing w:after="180" w:line="240" w:lineRule="atLeast"/>
        <w:ind w:left="1440"/>
        <w:jc w:val="left"/>
        <w:rPr>
          <w:rFonts w:ascii="Arial" w:eastAsia="Calibri" w:hAnsi="Arial" w:cs="Arial"/>
          <w:sz w:val="20"/>
          <w:szCs w:val="20"/>
        </w:rPr>
      </w:pPr>
      <w:r>
        <w:rPr>
          <w:rFonts w:ascii="Arial" w:eastAsia="Calibri" w:hAnsi="Arial" w:cs="Arial"/>
          <w:sz w:val="20"/>
          <w:szCs w:val="20"/>
        </w:rPr>
        <w:t xml:space="preserve">In addition to the criteria that are focused on </w:t>
      </w:r>
      <w:r w:rsidR="00D511E7">
        <w:rPr>
          <w:rFonts w:ascii="Arial" w:eastAsia="Calibri" w:hAnsi="Arial" w:cs="Arial"/>
          <w:sz w:val="20"/>
          <w:szCs w:val="20"/>
        </w:rPr>
        <w:t xml:space="preserve">study </w:t>
      </w:r>
      <w:r>
        <w:rPr>
          <w:rFonts w:ascii="Arial" w:eastAsia="Calibri" w:hAnsi="Arial" w:cs="Arial"/>
          <w:sz w:val="20"/>
          <w:szCs w:val="20"/>
        </w:rPr>
        <w:t>metho</w:t>
      </w:r>
      <w:r w:rsidR="005B56C5">
        <w:rPr>
          <w:rFonts w:ascii="Arial" w:eastAsia="Calibri" w:hAnsi="Arial" w:cs="Arial"/>
          <w:sz w:val="20"/>
          <w:szCs w:val="20"/>
        </w:rPr>
        <w:t>do</w:t>
      </w:r>
      <w:r>
        <w:rPr>
          <w:rFonts w:ascii="Arial" w:eastAsia="Calibri" w:hAnsi="Arial" w:cs="Arial"/>
          <w:sz w:val="20"/>
          <w:szCs w:val="20"/>
        </w:rPr>
        <w:t>logical quality, we will consider publication bias</w:t>
      </w:r>
      <w:r w:rsidR="00D511E7">
        <w:rPr>
          <w:rFonts w:ascii="Arial" w:eastAsia="Calibri" w:hAnsi="Arial" w:cs="Arial"/>
          <w:sz w:val="20"/>
          <w:szCs w:val="20"/>
        </w:rPr>
        <w:t xml:space="preserve"> across the body of selected studies</w:t>
      </w:r>
      <w:r>
        <w:rPr>
          <w:rFonts w:ascii="Arial" w:eastAsia="Calibri" w:hAnsi="Arial" w:cs="Arial"/>
          <w:sz w:val="20"/>
          <w:szCs w:val="20"/>
        </w:rPr>
        <w:t xml:space="preserve">, </w:t>
      </w:r>
    </w:p>
    <w:p w14:paraId="4F95B378" w14:textId="1056EE12" w:rsidR="00986C72" w:rsidRPr="00412554" w:rsidRDefault="00986C72" w:rsidP="009F1455">
      <w:pPr>
        <w:spacing w:after="180" w:line="240" w:lineRule="atLeast"/>
        <w:ind w:left="1440"/>
        <w:jc w:val="left"/>
        <w:rPr>
          <w:rFonts w:ascii="Arial" w:eastAsia="Calibri" w:hAnsi="Arial" w:cs="Arial"/>
          <w:sz w:val="20"/>
          <w:szCs w:val="20"/>
        </w:rPr>
      </w:pPr>
      <w:r w:rsidRPr="00412554">
        <w:rPr>
          <w:rFonts w:ascii="Arial" w:eastAsia="Calibri" w:hAnsi="Arial" w:cs="Arial"/>
          <w:sz w:val="20"/>
          <w:szCs w:val="20"/>
        </w:rPr>
        <w:t>Separately, existing systematic reviews will be assessed using a modified version of the AMSTAR</w:t>
      </w:r>
      <w:r w:rsidRPr="00412554">
        <w:rPr>
          <w:rFonts w:ascii="Arial" w:eastAsia="Calibri" w:hAnsi="Arial" w:cs="Arial"/>
          <w:sz w:val="20"/>
          <w:szCs w:val="20"/>
          <w:vertAlign w:val="superscript"/>
        </w:rPr>
        <w:footnoteReference w:id="5"/>
      </w:r>
      <w:r w:rsidRPr="00412554">
        <w:rPr>
          <w:rFonts w:ascii="Arial" w:eastAsia="Calibri" w:hAnsi="Arial" w:cs="Arial"/>
          <w:sz w:val="20"/>
          <w:szCs w:val="20"/>
        </w:rPr>
        <w:t xml:space="preserve"> checklist, incorporating a relative rating system to assign studies as high, </w:t>
      </w:r>
      <w:proofErr w:type="gramStart"/>
      <w:r w:rsidRPr="00412554">
        <w:rPr>
          <w:rFonts w:ascii="Arial" w:eastAsia="Calibri" w:hAnsi="Arial" w:cs="Arial"/>
          <w:sz w:val="20"/>
          <w:szCs w:val="20"/>
        </w:rPr>
        <w:t>medium</w:t>
      </w:r>
      <w:proofErr w:type="gramEnd"/>
      <w:r w:rsidRPr="00412554">
        <w:rPr>
          <w:rFonts w:ascii="Arial" w:eastAsia="Calibri" w:hAnsi="Arial" w:cs="Arial"/>
          <w:sz w:val="20"/>
          <w:szCs w:val="20"/>
        </w:rPr>
        <w:t xml:space="preserve"> or low confidence. The identified systematic reviews will be </w:t>
      </w:r>
      <w:r w:rsidR="00D511E7">
        <w:rPr>
          <w:rFonts w:ascii="Arial" w:eastAsia="Calibri" w:hAnsi="Arial" w:cs="Arial"/>
          <w:sz w:val="20"/>
          <w:szCs w:val="20"/>
        </w:rPr>
        <w:t>considered and addressed in</w:t>
      </w:r>
      <w:r w:rsidRPr="00412554">
        <w:rPr>
          <w:rFonts w:ascii="Arial" w:eastAsia="Calibri" w:hAnsi="Arial" w:cs="Arial"/>
          <w:sz w:val="20"/>
          <w:szCs w:val="20"/>
        </w:rPr>
        <w:t xml:space="preserve"> the discussion section of the manuscript </w:t>
      </w:r>
      <w:r w:rsidR="00D511E7">
        <w:rPr>
          <w:rFonts w:ascii="Arial" w:eastAsia="Calibri" w:hAnsi="Arial" w:cs="Arial"/>
          <w:sz w:val="20"/>
          <w:szCs w:val="20"/>
        </w:rPr>
        <w:t xml:space="preserve">should they </w:t>
      </w:r>
      <w:r w:rsidRPr="00412554">
        <w:rPr>
          <w:rFonts w:ascii="Arial" w:eastAsia="Calibri" w:hAnsi="Arial" w:cs="Arial"/>
          <w:sz w:val="20"/>
          <w:szCs w:val="20"/>
        </w:rPr>
        <w:t xml:space="preserve">provide </w:t>
      </w:r>
      <w:r w:rsidR="008D535A">
        <w:rPr>
          <w:rFonts w:ascii="Arial" w:eastAsia="Calibri" w:hAnsi="Arial" w:cs="Arial"/>
          <w:sz w:val="20"/>
          <w:szCs w:val="20"/>
        </w:rPr>
        <w:t xml:space="preserve">additional </w:t>
      </w:r>
      <w:r w:rsidRPr="00412554">
        <w:rPr>
          <w:rFonts w:ascii="Arial" w:eastAsia="Calibri" w:hAnsi="Arial" w:cs="Arial"/>
          <w:sz w:val="20"/>
          <w:szCs w:val="20"/>
        </w:rPr>
        <w:t xml:space="preserve">context </w:t>
      </w:r>
      <w:r w:rsidR="008D535A">
        <w:rPr>
          <w:rFonts w:ascii="Arial" w:eastAsia="Calibri" w:hAnsi="Arial" w:cs="Arial"/>
          <w:sz w:val="20"/>
          <w:szCs w:val="20"/>
        </w:rPr>
        <w:t>or</w:t>
      </w:r>
      <w:r w:rsidR="008D535A" w:rsidRPr="00412554">
        <w:rPr>
          <w:rFonts w:ascii="Arial" w:eastAsia="Calibri" w:hAnsi="Arial" w:cs="Arial"/>
          <w:sz w:val="20"/>
          <w:szCs w:val="20"/>
        </w:rPr>
        <w:t xml:space="preserve"> </w:t>
      </w:r>
      <w:r w:rsidRPr="00412554">
        <w:rPr>
          <w:rFonts w:ascii="Arial" w:eastAsia="Calibri" w:hAnsi="Arial" w:cs="Arial"/>
          <w:sz w:val="20"/>
          <w:szCs w:val="20"/>
        </w:rPr>
        <w:t xml:space="preserve">inform overall integration of the scientific literature on talc and human health.     </w:t>
      </w:r>
    </w:p>
    <w:p w14:paraId="19BEA78E" w14:textId="77777777" w:rsidR="00986C72" w:rsidRPr="00412554" w:rsidRDefault="00986C72" w:rsidP="009F1455">
      <w:pPr>
        <w:spacing w:after="180" w:line="240" w:lineRule="atLeast"/>
        <w:ind w:left="1440"/>
        <w:jc w:val="left"/>
        <w:rPr>
          <w:rFonts w:ascii="Arial" w:eastAsia="Calibri" w:hAnsi="Arial" w:cs="Arial"/>
          <w:sz w:val="20"/>
          <w:szCs w:val="20"/>
        </w:rPr>
      </w:pPr>
      <w:r w:rsidRPr="00412554">
        <w:rPr>
          <w:rFonts w:ascii="Arial" w:eastAsia="Calibri" w:hAnsi="Arial" w:cs="Arial"/>
          <w:sz w:val="20"/>
          <w:szCs w:val="20"/>
        </w:rPr>
        <w:t xml:space="preserve">We will provide detailed tables summarizing the key studies and our study quality assessments in appendices and/or supplemental materials to the publication.    </w:t>
      </w:r>
    </w:p>
    <w:p w14:paraId="422EC05D" w14:textId="45ADFCB8" w:rsidR="00986C72" w:rsidRPr="009F1455" w:rsidRDefault="000A00A3" w:rsidP="009F1455">
      <w:pPr>
        <w:pStyle w:val="ListParagraph"/>
        <w:keepNext/>
        <w:keepLines/>
        <w:numPr>
          <w:ilvl w:val="1"/>
          <w:numId w:val="1"/>
        </w:numPr>
        <w:spacing w:before="200" w:after="120" w:line="240" w:lineRule="atLeast"/>
        <w:jc w:val="left"/>
        <w:outlineLvl w:val="1"/>
        <w:rPr>
          <w:rFonts w:ascii="Arial" w:eastAsia="MS Gothic" w:hAnsi="Arial" w:cs="Times New Roman"/>
          <w:b/>
          <w:bCs/>
        </w:rPr>
      </w:pPr>
      <w:bookmarkStart w:id="12" w:name="_Toc69210659"/>
      <w:r>
        <w:rPr>
          <w:rFonts w:ascii="Arial" w:eastAsia="MS Gothic" w:hAnsi="Arial" w:cs="Times New Roman"/>
          <w:b/>
          <w:bCs/>
        </w:rPr>
        <w:t>Evidence Synthesis</w:t>
      </w:r>
      <w:bookmarkEnd w:id="12"/>
      <w:r>
        <w:rPr>
          <w:rFonts w:ascii="Arial" w:eastAsia="MS Gothic" w:hAnsi="Arial" w:cs="Times New Roman"/>
          <w:b/>
          <w:bCs/>
        </w:rPr>
        <w:t xml:space="preserve"> </w:t>
      </w:r>
    </w:p>
    <w:p w14:paraId="16967818" w14:textId="6193C6D1" w:rsidR="00986C72" w:rsidRPr="00412554" w:rsidRDefault="00A25450" w:rsidP="009F1455">
      <w:pPr>
        <w:spacing w:after="180" w:line="240" w:lineRule="atLeast"/>
        <w:ind w:left="1440"/>
        <w:jc w:val="left"/>
        <w:rPr>
          <w:rFonts w:ascii="Arial" w:eastAsia="Calibri" w:hAnsi="Arial" w:cs="Arial"/>
          <w:color w:val="000000"/>
          <w:sz w:val="20"/>
          <w:szCs w:val="20"/>
        </w:rPr>
      </w:pPr>
      <w:r>
        <w:rPr>
          <w:rFonts w:ascii="Arial" w:eastAsia="Calibri" w:hAnsi="Arial" w:cs="Arial"/>
          <w:color w:val="000000"/>
          <w:sz w:val="20"/>
          <w:szCs w:val="20"/>
        </w:rPr>
        <w:t>P</w:t>
      </w:r>
      <w:r w:rsidR="00986C72" w:rsidRPr="00412554">
        <w:rPr>
          <w:rFonts w:ascii="Arial" w:eastAsia="Calibri" w:hAnsi="Arial" w:cs="Arial"/>
          <w:color w:val="000000"/>
          <w:sz w:val="20"/>
          <w:szCs w:val="20"/>
        </w:rPr>
        <w:t xml:space="preserve">rovide a detailed narrative whereby the results of human, animal, and mechanistic evidence are separately </w:t>
      </w:r>
      <w:r w:rsidR="00672A33">
        <w:rPr>
          <w:rFonts w:ascii="Arial" w:eastAsia="Calibri" w:hAnsi="Arial" w:cs="Arial"/>
          <w:color w:val="000000"/>
          <w:sz w:val="20"/>
          <w:szCs w:val="20"/>
        </w:rPr>
        <w:t>synthesized</w:t>
      </w:r>
      <w:r w:rsidR="00986C72" w:rsidRPr="00412554">
        <w:rPr>
          <w:rFonts w:ascii="Arial" w:eastAsia="Calibri" w:hAnsi="Arial" w:cs="Arial"/>
          <w:color w:val="000000"/>
          <w:sz w:val="20"/>
          <w:szCs w:val="20"/>
        </w:rPr>
        <w:t xml:space="preserve"> to determine the strength of the evidence for each lin</w:t>
      </w:r>
      <w:r w:rsidR="008F0DCD">
        <w:rPr>
          <w:rFonts w:ascii="Arial" w:eastAsia="Calibri" w:hAnsi="Arial" w:cs="Arial"/>
          <w:color w:val="000000"/>
          <w:sz w:val="20"/>
          <w:szCs w:val="20"/>
        </w:rPr>
        <w:t>e of scientific inquiry:  robust, moderate, slight, indeterminate, or compelling evidence of no effect. The judgments are based loosely on those presented by US EPA (2021</w:t>
      </w:r>
      <w:proofErr w:type="gramStart"/>
      <w:r w:rsidR="008F0DCD">
        <w:rPr>
          <w:rFonts w:ascii="Arial" w:eastAsia="Calibri" w:hAnsi="Arial" w:cs="Arial"/>
          <w:color w:val="000000"/>
          <w:sz w:val="20"/>
          <w:szCs w:val="20"/>
        </w:rPr>
        <w:t>), and</w:t>
      </w:r>
      <w:proofErr w:type="gramEnd"/>
      <w:r w:rsidR="008F0DCD">
        <w:rPr>
          <w:rFonts w:ascii="Arial" w:eastAsia="Calibri" w:hAnsi="Arial" w:cs="Arial"/>
          <w:color w:val="000000"/>
          <w:sz w:val="20"/>
          <w:szCs w:val="20"/>
        </w:rPr>
        <w:t xml:space="preserve"> are informed by study quality and the fulfillment of Bradford Hill viewpoints including consistency, strength (magnitude) of effect, biological gradient/dose-response, and coherence across the individual lines of evidence.  </w:t>
      </w:r>
    </w:p>
    <w:p w14:paraId="2589EF10" w14:textId="030E7E29" w:rsidR="00986C72" w:rsidRDefault="00986C72" w:rsidP="009F1455">
      <w:pPr>
        <w:spacing w:after="180" w:line="240" w:lineRule="atLeast"/>
        <w:ind w:left="1440"/>
        <w:jc w:val="left"/>
        <w:rPr>
          <w:rFonts w:ascii="Arial" w:eastAsia="Calibri" w:hAnsi="Arial" w:cs="Arial"/>
          <w:sz w:val="20"/>
          <w:szCs w:val="20"/>
        </w:rPr>
      </w:pPr>
      <w:r w:rsidRPr="00412554">
        <w:rPr>
          <w:rFonts w:ascii="Arial" w:eastAsia="Calibri" w:hAnsi="Arial" w:cs="Arial"/>
          <w:color w:val="000000"/>
          <w:sz w:val="20"/>
          <w:szCs w:val="20"/>
        </w:rPr>
        <w:t xml:space="preserve">For each line of evidence, a key feature of the evaluation and narrative will be to consider the study quality evaluation in the evidence integration and hazard conclusions. The narrative will include explanations of the relative contribution of methodological quality to the observed associations (i.e., whether certain study design features may have biased results); alternative factors and/or alternative hypotheses for any observed associations; and most importantly, the relevance of this set of literature and its findings to populations of interest (e.g., workers exposed to talc and consumers of products containing talc). </w:t>
      </w:r>
      <w:r w:rsidR="00722320">
        <w:rPr>
          <w:rFonts w:ascii="Arial" w:eastAsia="Calibri" w:hAnsi="Arial" w:cs="Arial"/>
          <w:sz w:val="20"/>
          <w:szCs w:val="20"/>
        </w:rPr>
        <w:t xml:space="preserve"> </w:t>
      </w:r>
      <w:r w:rsidRPr="00412554">
        <w:rPr>
          <w:rFonts w:ascii="Arial" w:eastAsia="Calibri" w:hAnsi="Arial" w:cs="Arial"/>
          <w:sz w:val="20"/>
          <w:szCs w:val="20"/>
        </w:rPr>
        <w:t xml:space="preserve"> </w:t>
      </w:r>
    </w:p>
    <w:p w14:paraId="5E0AACAE" w14:textId="1DAD0C2D" w:rsidR="00672A33" w:rsidRDefault="00672A33" w:rsidP="009F1455">
      <w:pPr>
        <w:spacing w:after="180" w:line="240" w:lineRule="atLeast"/>
        <w:ind w:left="1440"/>
        <w:jc w:val="left"/>
        <w:rPr>
          <w:rFonts w:ascii="Arial" w:eastAsia="Calibri" w:hAnsi="Arial" w:cs="Arial"/>
          <w:sz w:val="20"/>
          <w:szCs w:val="20"/>
        </w:rPr>
      </w:pPr>
      <w:r>
        <w:rPr>
          <w:rFonts w:ascii="Arial" w:eastAsia="Calibri" w:hAnsi="Arial" w:cs="Arial"/>
          <w:sz w:val="20"/>
          <w:szCs w:val="20"/>
        </w:rPr>
        <w:t xml:space="preserve">The </w:t>
      </w:r>
      <w:r w:rsidR="005B56C5">
        <w:rPr>
          <w:rFonts w:ascii="Arial" w:eastAsia="Calibri" w:hAnsi="Arial" w:cs="Arial"/>
          <w:sz w:val="20"/>
          <w:szCs w:val="20"/>
        </w:rPr>
        <w:t>synthesis</w:t>
      </w:r>
      <w:r>
        <w:rPr>
          <w:rFonts w:ascii="Arial" w:eastAsia="Calibri" w:hAnsi="Arial" w:cs="Arial"/>
          <w:sz w:val="20"/>
          <w:szCs w:val="20"/>
        </w:rPr>
        <w:t xml:space="preserve"> conclusions for each realm of evidence and the basis for these conclusions, as well as the basis for the causality conclusions from the integration across the realms of evidence, will be summarized in tabular format.</w:t>
      </w:r>
      <w:r w:rsidR="00A44B55">
        <w:rPr>
          <w:rFonts w:ascii="Arial" w:eastAsia="Calibri" w:hAnsi="Arial" w:cs="Arial"/>
          <w:sz w:val="20"/>
          <w:szCs w:val="20"/>
        </w:rPr>
        <w:t xml:space="preserve"> Each line of evidence will be assigned a qualitative descriptor of overall strength of the evidence.</w:t>
      </w:r>
      <w:r>
        <w:rPr>
          <w:rFonts w:ascii="Arial" w:eastAsia="Calibri" w:hAnsi="Arial" w:cs="Arial"/>
          <w:sz w:val="20"/>
          <w:szCs w:val="20"/>
        </w:rPr>
        <w:t xml:space="preserve"> </w:t>
      </w:r>
      <w:r w:rsidR="006B179E">
        <w:rPr>
          <w:rFonts w:ascii="Arial" w:eastAsia="Calibri" w:hAnsi="Arial" w:cs="Arial"/>
          <w:sz w:val="20"/>
          <w:szCs w:val="20"/>
        </w:rPr>
        <w:t>Specific considerations for each line of evidence are provided below.</w:t>
      </w:r>
    </w:p>
    <w:p w14:paraId="4C43FE22" w14:textId="77777777" w:rsidR="006B179E" w:rsidRPr="00412554" w:rsidRDefault="006B179E" w:rsidP="006B179E">
      <w:pPr>
        <w:keepNext/>
        <w:keepLines/>
        <w:spacing w:before="40" w:after="120" w:line="259" w:lineRule="auto"/>
        <w:ind w:left="720" w:firstLine="720"/>
        <w:jc w:val="left"/>
        <w:outlineLvl w:val="2"/>
        <w:rPr>
          <w:rFonts w:ascii="Arial" w:eastAsia="Calibri" w:hAnsi="Arial" w:cs="Arial"/>
          <w:sz w:val="20"/>
          <w:u w:val="single"/>
        </w:rPr>
      </w:pPr>
      <w:bookmarkStart w:id="13" w:name="_Toc68100110"/>
      <w:bookmarkStart w:id="14" w:name="_Toc69210660"/>
      <w:r w:rsidRPr="00055B9B">
        <w:rPr>
          <w:rFonts w:ascii="Arial" w:eastAsia="Calibri" w:hAnsi="Arial" w:cs="Arial"/>
          <w:sz w:val="20"/>
          <w:u w:val="single"/>
        </w:rPr>
        <w:t>Epidemiology</w:t>
      </w:r>
      <w:bookmarkEnd w:id="13"/>
      <w:bookmarkEnd w:id="14"/>
      <w:r w:rsidRPr="00412554">
        <w:rPr>
          <w:rFonts w:ascii="Arial" w:eastAsia="Calibri" w:hAnsi="Arial" w:cs="Arial"/>
          <w:sz w:val="20"/>
          <w:u w:val="single"/>
        </w:rPr>
        <w:t xml:space="preserve"> </w:t>
      </w:r>
    </w:p>
    <w:p w14:paraId="67792BE6" w14:textId="77777777" w:rsidR="006B179E" w:rsidRPr="00412554" w:rsidRDefault="006B179E" w:rsidP="006B179E">
      <w:pPr>
        <w:spacing w:after="180" w:line="240" w:lineRule="atLeast"/>
        <w:ind w:left="1440"/>
        <w:jc w:val="left"/>
        <w:rPr>
          <w:rFonts w:ascii="Arial" w:eastAsia="Calibri" w:hAnsi="Arial" w:cs="Arial"/>
          <w:sz w:val="20"/>
          <w:szCs w:val="20"/>
        </w:rPr>
      </w:pPr>
      <w:proofErr w:type="gramStart"/>
      <w:r w:rsidRPr="00412554">
        <w:rPr>
          <w:rFonts w:ascii="Arial" w:eastAsia="Calibri" w:hAnsi="Arial" w:cs="Arial"/>
          <w:sz w:val="20"/>
          <w:szCs w:val="20"/>
        </w:rPr>
        <w:t>In order to</w:t>
      </w:r>
      <w:proofErr w:type="gramEnd"/>
      <w:r w:rsidRPr="00412554">
        <w:rPr>
          <w:rFonts w:ascii="Arial" w:eastAsia="Calibri" w:hAnsi="Arial" w:cs="Arial"/>
          <w:sz w:val="20"/>
          <w:szCs w:val="20"/>
        </w:rPr>
        <w:t xml:space="preserve"> evaluate consistency and coherence across the studies, </w:t>
      </w:r>
      <w:r>
        <w:rPr>
          <w:rFonts w:ascii="Arial" w:eastAsia="Calibri" w:hAnsi="Arial" w:cs="Arial"/>
          <w:sz w:val="20"/>
          <w:szCs w:val="20"/>
        </w:rPr>
        <w:t xml:space="preserve">present studies in </w:t>
      </w:r>
      <w:r w:rsidRPr="00412554">
        <w:rPr>
          <w:rFonts w:ascii="Arial" w:eastAsia="Calibri" w:hAnsi="Arial" w:cs="Arial"/>
          <w:sz w:val="20"/>
          <w:szCs w:val="20"/>
        </w:rPr>
        <w:t xml:space="preserve">table, figure, or other visual form to compare results by 1) study design and by 2) study quality classification (low, medium, high). For each study, </w:t>
      </w:r>
      <w:r>
        <w:rPr>
          <w:rFonts w:ascii="Arial" w:eastAsia="Calibri" w:hAnsi="Arial" w:cs="Arial"/>
          <w:sz w:val="20"/>
          <w:szCs w:val="20"/>
        </w:rPr>
        <w:t>evaluate</w:t>
      </w:r>
      <w:r w:rsidRPr="00412554">
        <w:rPr>
          <w:rFonts w:ascii="Arial" w:eastAsia="Calibri" w:hAnsi="Arial" w:cs="Arial"/>
          <w:sz w:val="20"/>
          <w:szCs w:val="20"/>
        </w:rPr>
        <w:t xml:space="preserve"> whether the results indicate that talc is objectively and accurately measured or estimated, and associated with the disease(s) of interest. Specific factors to be considered include the strength and consistency of associations; freedom from serious bias, and degree to which alternative explanations were explored in that </w:t>
      </w:r>
      <w:proofErr w:type="gramStart"/>
      <w:r w:rsidRPr="00412554">
        <w:rPr>
          <w:rFonts w:ascii="Arial" w:eastAsia="Calibri" w:hAnsi="Arial" w:cs="Arial"/>
          <w:sz w:val="20"/>
          <w:szCs w:val="20"/>
        </w:rPr>
        <w:t>particular study</w:t>
      </w:r>
      <w:proofErr w:type="gramEnd"/>
      <w:r w:rsidRPr="00412554">
        <w:rPr>
          <w:rFonts w:ascii="Arial" w:eastAsia="Calibri" w:hAnsi="Arial" w:cs="Arial"/>
          <w:sz w:val="20"/>
          <w:szCs w:val="20"/>
        </w:rPr>
        <w:t xml:space="preserve"> (i.e., chance, bias and confounding) and reasonably can (or cannot) be discounted. Studies with higher methodological quality will be given more weight in the synthesis of the evidence. </w:t>
      </w:r>
    </w:p>
    <w:p w14:paraId="2E9616AF" w14:textId="71055A40" w:rsidR="006B179E" w:rsidRDefault="006B179E" w:rsidP="006B179E">
      <w:pPr>
        <w:spacing w:after="180" w:line="240" w:lineRule="atLeast"/>
        <w:ind w:left="1440"/>
        <w:jc w:val="left"/>
        <w:rPr>
          <w:rFonts w:ascii="Arial" w:eastAsia="Calibri" w:hAnsi="Arial" w:cs="Arial"/>
          <w:sz w:val="20"/>
          <w:szCs w:val="20"/>
        </w:rPr>
      </w:pPr>
      <w:r w:rsidRPr="00412554">
        <w:rPr>
          <w:rFonts w:ascii="Arial" w:eastAsia="Calibri" w:hAnsi="Arial" w:cs="Arial"/>
          <w:sz w:val="20"/>
          <w:szCs w:val="20"/>
        </w:rPr>
        <w:lastRenderedPageBreak/>
        <w:t>If appropriate and given available data are amenable, a meta-analysis may be conducted, including an evaluation of possible publication bias. In some circumstances even when a summary relative risk estimate is not of interest or meaningful, forest plots can be helpful in visually presenting study results and the patterns visible across studies.</w:t>
      </w:r>
    </w:p>
    <w:p w14:paraId="260A8BE5" w14:textId="77777777" w:rsidR="006B179E" w:rsidRPr="00055B9B" w:rsidRDefault="006B179E" w:rsidP="006B179E">
      <w:pPr>
        <w:keepNext/>
        <w:keepLines/>
        <w:spacing w:before="40" w:after="120" w:line="259" w:lineRule="auto"/>
        <w:ind w:left="720" w:firstLine="720"/>
        <w:jc w:val="left"/>
        <w:outlineLvl w:val="2"/>
        <w:rPr>
          <w:rFonts w:ascii="Arial" w:eastAsia="Calibri" w:hAnsi="Arial" w:cs="Arial"/>
          <w:sz w:val="20"/>
          <w:u w:val="single"/>
        </w:rPr>
      </w:pPr>
      <w:bookmarkStart w:id="15" w:name="_Toc68100111"/>
      <w:bookmarkStart w:id="16" w:name="_Toc69210661"/>
      <w:r w:rsidRPr="00055B9B">
        <w:rPr>
          <w:rFonts w:ascii="Arial" w:eastAsia="Calibri" w:hAnsi="Arial" w:cs="Arial"/>
          <w:sz w:val="20"/>
          <w:u w:val="single"/>
        </w:rPr>
        <w:t>Experimental Animal and Mechanistic Information</w:t>
      </w:r>
      <w:bookmarkEnd w:id="15"/>
      <w:bookmarkEnd w:id="16"/>
    </w:p>
    <w:p w14:paraId="04199D93" w14:textId="0B00D90B" w:rsidR="006B179E" w:rsidRDefault="006B179E" w:rsidP="006B179E">
      <w:pPr>
        <w:spacing w:after="180" w:line="240" w:lineRule="atLeast"/>
        <w:ind w:left="1440"/>
        <w:jc w:val="left"/>
        <w:rPr>
          <w:rFonts w:ascii="Arial" w:eastAsia="Calibri" w:hAnsi="Arial" w:cs="Arial"/>
          <w:sz w:val="20"/>
          <w:szCs w:val="20"/>
        </w:rPr>
      </w:pPr>
      <w:r w:rsidRPr="00412554">
        <w:rPr>
          <w:rFonts w:ascii="Arial" w:eastAsia="Calibri" w:hAnsi="Arial" w:cs="Arial"/>
          <w:sz w:val="20"/>
          <w:szCs w:val="20"/>
        </w:rPr>
        <w:t xml:space="preserve">As described in the </w:t>
      </w:r>
      <w:r>
        <w:rPr>
          <w:rFonts w:ascii="Arial" w:eastAsia="Calibri" w:hAnsi="Arial" w:cs="Arial"/>
          <w:sz w:val="20"/>
          <w:szCs w:val="20"/>
        </w:rPr>
        <w:t xml:space="preserve">Search Strategy </w:t>
      </w:r>
      <w:r w:rsidRPr="00412554">
        <w:rPr>
          <w:rFonts w:ascii="Arial" w:eastAsia="Calibri" w:hAnsi="Arial" w:cs="Arial"/>
          <w:sz w:val="20"/>
          <w:szCs w:val="20"/>
        </w:rPr>
        <w:t xml:space="preserve">section, the analysis of the animal and mechanistic information will be fit-for-purpose and focused on studies identified in recent agency reviews as well as more recent publications, for the cancer sites addressed in the epidemiology section. </w:t>
      </w:r>
      <w:r>
        <w:rPr>
          <w:rFonts w:ascii="Arial" w:eastAsia="Calibri" w:hAnsi="Arial" w:cs="Arial"/>
          <w:sz w:val="20"/>
          <w:szCs w:val="20"/>
        </w:rPr>
        <w:t>We</w:t>
      </w:r>
      <w:r w:rsidRPr="00412554">
        <w:rPr>
          <w:rFonts w:ascii="Arial" w:eastAsia="Calibri" w:hAnsi="Arial" w:cs="Arial"/>
          <w:sz w:val="20"/>
          <w:szCs w:val="20"/>
        </w:rPr>
        <w:t xml:space="preserve"> will consider the strength and consistency of the</w:t>
      </w:r>
      <w:r w:rsidRPr="00412554">
        <w:rPr>
          <w:rFonts w:ascii="Arial" w:eastAsia="Calibri" w:hAnsi="Arial" w:cs="Arial"/>
          <w:i/>
          <w:sz w:val="20"/>
          <w:szCs w:val="20"/>
        </w:rPr>
        <w:t xml:space="preserve"> in vivo </w:t>
      </w:r>
      <w:r w:rsidRPr="00412554">
        <w:rPr>
          <w:rFonts w:ascii="Arial" w:eastAsia="Calibri" w:hAnsi="Arial" w:cs="Arial"/>
          <w:sz w:val="20"/>
          <w:szCs w:val="20"/>
        </w:rPr>
        <w:t xml:space="preserve">experimental animal studies (including consistency across species) for each cancer type. </w:t>
      </w:r>
      <w:proofErr w:type="gramStart"/>
      <w:r w:rsidRPr="00412554">
        <w:rPr>
          <w:rFonts w:ascii="Arial" w:eastAsia="Calibri" w:hAnsi="Arial" w:cs="Arial"/>
          <w:sz w:val="20"/>
          <w:szCs w:val="20"/>
        </w:rPr>
        <w:t>With regard to</w:t>
      </w:r>
      <w:proofErr w:type="gramEnd"/>
      <w:r w:rsidRPr="00412554">
        <w:rPr>
          <w:rFonts w:ascii="Arial" w:eastAsia="Calibri" w:hAnsi="Arial" w:cs="Arial"/>
          <w:sz w:val="20"/>
          <w:szCs w:val="20"/>
        </w:rPr>
        <w:t xml:space="preserve"> studies published after agency reviews, we specifically will consider whether the findings generally agree or diverge from the studies included in the agency reviews. We also will describe the available evidence for any postulated mechanisms, and weigh the relative strength of each, considering the availability and quality of data each postulated molecular initiating and key event in the MOA, characterizing any data gaps apparent in the MOA. </w:t>
      </w:r>
    </w:p>
    <w:p w14:paraId="431F5D0A" w14:textId="581B4D0F" w:rsidR="006B179E" w:rsidRPr="006B179E" w:rsidRDefault="006B179E" w:rsidP="006B179E">
      <w:pPr>
        <w:pStyle w:val="ListParagraph"/>
        <w:keepNext/>
        <w:keepLines/>
        <w:numPr>
          <w:ilvl w:val="1"/>
          <w:numId w:val="1"/>
        </w:numPr>
        <w:spacing w:before="200" w:after="120" w:line="240" w:lineRule="atLeast"/>
        <w:jc w:val="left"/>
        <w:outlineLvl w:val="1"/>
        <w:rPr>
          <w:rFonts w:ascii="Arial" w:eastAsia="MS Gothic" w:hAnsi="Arial" w:cs="Times New Roman"/>
          <w:b/>
          <w:bCs/>
        </w:rPr>
      </w:pPr>
      <w:bookmarkStart w:id="17" w:name="_Toc69210662"/>
      <w:r w:rsidRPr="006B179E">
        <w:rPr>
          <w:rFonts w:ascii="Arial" w:eastAsia="MS Gothic" w:hAnsi="Arial" w:cs="Times New Roman"/>
          <w:b/>
          <w:bCs/>
        </w:rPr>
        <w:t>Evidence Integration</w:t>
      </w:r>
      <w:bookmarkEnd w:id="17"/>
    </w:p>
    <w:p w14:paraId="7B87C73F" w14:textId="6B326526" w:rsidR="00252A6A" w:rsidRPr="00412554" w:rsidRDefault="006B179E" w:rsidP="009F1455">
      <w:pPr>
        <w:spacing w:after="180" w:line="240" w:lineRule="atLeast"/>
        <w:ind w:left="1440"/>
        <w:jc w:val="left"/>
        <w:rPr>
          <w:rFonts w:ascii="Arial" w:eastAsia="Calibri" w:hAnsi="Arial" w:cs="Arial"/>
          <w:color w:val="000000"/>
          <w:sz w:val="20"/>
          <w:szCs w:val="20"/>
        </w:rPr>
      </w:pPr>
      <w:r>
        <w:rPr>
          <w:rFonts w:ascii="Arial" w:eastAsia="Calibri" w:hAnsi="Arial" w:cs="Arial"/>
          <w:color w:val="000000"/>
          <w:sz w:val="20"/>
          <w:szCs w:val="20"/>
        </w:rPr>
        <w:t xml:space="preserve">The </w:t>
      </w:r>
      <w:r w:rsidRPr="006B179E">
        <w:rPr>
          <w:rFonts w:ascii="Arial" w:eastAsia="Calibri" w:hAnsi="Arial" w:cs="Arial"/>
          <w:color w:val="000000"/>
          <w:sz w:val="20"/>
          <w:szCs w:val="20"/>
        </w:rPr>
        <w:t xml:space="preserve">results </w:t>
      </w:r>
      <w:r>
        <w:rPr>
          <w:rFonts w:ascii="Arial" w:eastAsia="Calibri" w:hAnsi="Arial" w:cs="Arial"/>
          <w:color w:val="000000"/>
          <w:sz w:val="20"/>
          <w:szCs w:val="20"/>
        </w:rPr>
        <w:t>of the syntheses for each line</w:t>
      </w:r>
      <w:r w:rsidRPr="006B179E">
        <w:rPr>
          <w:rFonts w:ascii="Arial" w:eastAsia="Calibri" w:hAnsi="Arial" w:cs="Arial"/>
          <w:color w:val="000000"/>
          <w:sz w:val="20"/>
          <w:szCs w:val="20"/>
        </w:rPr>
        <w:t xml:space="preserve"> of inquiry will</w:t>
      </w:r>
      <w:r>
        <w:rPr>
          <w:rFonts w:ascii="Arial" w:eastAsia="Calibri" w:hAnsi="Arial" w:cs="Arial"/>
          <w:color w:val="000000"/>
          <w:sz w:val="20"/>
          <w:szCs w:val="20"/>
        </w:rPr>
        <w:t xml:space="preserve"> then</w:t>
      </w:r>
      <w:r w:rsidRPr="006B179E">
        <w:rPr>
          <w:rFonts w:ascii="Arial" w:eastAsia="Calibri" w:hAnsi="Arial" w:cs="Arial"/>
          <w:color w:val="000000"/>
          <w:sz w:val="20"/>
          <w:szCs w:val="20"/>
        </w:rPr>
        <w:t xml:space="preserve"> be weighted and integrated to reach clear conclusions regarding the potential cancer hazards of talc and talc contaminated by asbestos. In other words, the totality of the evidence will be synthesized within each line of inquiry (e.g., across all epidemiology studies) and then integrated with animal study findings and mechanistic considerations to reach conclusions on human cancer hazards.</w:t>
      </w:r>
      <w:r>
        <w:rPr>
          <w:rFonts w:ascii="Arial" w:eastAsia="Calibri" w:hAnsi="Arial" w:cs="Arial"/>
          <w:color w:val="000000"/>
          <w:sz w:val="20"/>
          <w:szCs w:val="20"/>
        </w:rPr>
        <w:t xml:space="preserve"> </w:t>
      </w:r>
      <w:r w:rsidR="00A44B55">
        <w:rPr>
          <w:rFonts w:ascii="Arial" w:eastAsia="Calibri" w:hAnsi="Arial" w:cs="Arial"/>
          <w:color w:val="000000"/>
          <w:sz w:val="20"/>
          <w:szCs w:val="20"/>
        </w:rPr>
        <w:t>Again, we will</w:t>
      </w:r>
      <w:r w:rsidR="008A647D">
        <w:rPr>
          <w:rFonts w:ascii="Arial" w:eastAsia="Calibri" w:hAnsi="Arial" w:cs="Arial"/>
          <w:color w:val="000000"/>
          <w:sz w:val="20"/>
          <w:szCs w:val="20"/>
        </w:rPr>
        <w:t xml:space="preserve"> draw upon the </w:t>
      </w:r>
      <w:r w:rsidR="00A44B55">
        <w:rPr>
          <w:rFonts w:ascii="Arial" w:eastAsia="Calibri" w:hAnsi="Arial" w:cs="Arial"/>
          <w:color w:val="000000"/>
          <w:sz w:val="20"/>
          <w:szCs w:val="20"/>
        </w:rPr>
        <w:t xml:space="preserve">systematic review </w:t>
      </w:r>
      <w:r w:rsidR="008A647D">
        <w:rPr>
          <w:rFonts w:ascii="Arial" w:eastAsia="Calibri" w:hAnsi="Arial" w:cs="Arial"/>
          <w:color w:val="000000"/>
          <w:sz w:val="20"/>
          <w:szCs w:val="20"/>
        </w:rPr>
        <w:t xml:space="preserve">frameworks named above, but also refer to </w:t>
      </w:r>
      <w:r w:rsidR="00A44B55">
        <w:rPr>
          <w:rFonts w:ascii="Arial" w:eastAsia="Calibri" w:hAnsi="Arial" w:cs="Arial"/>
          <w:color w:val="000000"/>
          <w:sz w:val="20"/>
          <w:szCs w:val="20"/>
        </w:rPr>
        <w:t xml:space="preserve">other frameworks focused specifically on causal interference (e.g., </w:t>
      </w:r>
      <w:proofErr w:type="spellStart"/>
      <w:r w:rsidR="00A44B55">
        <w:rPr>
          <w:rFonts w:ascii="Arial" w:eastAsia="Calibri" w:hAnsi="Arial" w:cs="Arial"/>
          <w:color w:val="000000"/>
          <w:sz w:val="20"/>
          <w:szCs w:val="20"/>
        </w:rPr>
        <w:t>Adami</w:t>
      </w:r>
      <w:proofErr w:type="spellEnd"/>
      <w:r w:rsidR="00A44B55">
        <w:rPr>
          <w:rFonts w:ascii="Arial" w:eastAsia="Calibri" w:hAnsi="Arial" w:cs="Arial"/>
          <w:color w:val="000000"/>
          <w:sz w:val="20"/>
          <w:szCs w:val="20"/>
        </w:rPr>
        <w:t xml:space="preserve"> et al., 2011).</w:t>
      </w:r>
    </w:p>
    <w:p w14:paraId="0ECBA49C" w14:textId="53171ECC" w:rsidR="006B179E" w:rsidRDefault="00986C72" w:rsidP="006B179E">
      <w:pPr>
        <w:spacing w:after="180" w:line="240" w:lineRule="atLeast"/>
        <w:ind w:left="1440"/>
        <w:jc w:val="left"/>
        <w:rPr>
          <w:rFonts w:ascii="Arial" w:eastAsia="Calibri" w:hAnsi="Arial" w:cs="Arial"/>
          <w:color w:val="000000"/>
          <w:sz w:val="20"/>
          <w:szCs w:val="20"/>
        </w:rPr>
      </w:pPr>
      <w:r w:rsidRPr="00412554">
        <w:rPr>
          <w:rFonts w:ascii="Arial" w:eastAsia="Calibri" w:hAnsi="Arial" w:cs="Arial"/>
          <w:color w:val="000000"/>
          <w:sz w:val="20"/>
          <w:szCs w:val="20"/>
        </w:rPr>
        <w:t xml:space="preserve">This phase of the analysis will incorporate relevant Bradford Hill </w:t>
      </w:r>
      <w:r w:rsidR="008D535A">
        <w:rPr>
          <w:rFonts w:ascii="Arial" w:eastAsia="Calibri" w:hAnsi="Arial" w:cs="Arial"/>
          <w:color w:val="000000"/>
          <w:sz w:val="20"/>
          <w:szCs w:val="20"/>
        </w:rPr>
        <w:t>viewpoints</w:t>
      </w:r>
      <w:r w:rsidRPr="00412554">
        <w:rPr>
          <w:rFonts w:ascii="Arial" w:eastAsia="Calibri" w:hAnsi="Arial" w:cs="Arial"/>
          <w:color w:val="000000"/>
          <w:sz w:val="20"/>
          <w:szCs w:val="20"/>
        </w:rPr>
        <w:t xml:space="preserve">, with particular emphasis on the biological plausibility of observed effects (considering the available MOA evidence) and possible dose-response relationships observed </w:t>
      </w:r>
      <w:r w:rsidR="008D535A">
        <w:rPr>
          <w:rFonts w:ascii="Arial" w:eastAsia="Calibri" w:hAnsi="Arial" w:cs="Arial"/>
          <w:color w:val="000000"/>
          <w:sz w:val="20"/>
          <w:szCs w:val="20"/>
        </w:rPr>
        <w:t xml:space="preserve">toxicologically and </w:t>
      </w:r>
      <w:r w:rsidRPr="00412554">
        <w:rPr>
          <w:rFonts w:ascii="Arial" w:eastAsia="Calibri" w:hAnsi="Arial" w:cs="Arial"/>
          <w:color w:val="000000"/>
          <w:sz w:val="20"/>
          <w:szCs w:val="20"/>
        </w:rPr>
        <w:t xml:space="preserve">epidemiologically. The evaluation </w:t>
      </w:r>
      <w:r w:rsidR="008D535A">
        <w:rPr>
          <w:rFonts w:ascii="Arial" w:eastAsia="Calibri" w:hAnsi="Arial" w:cs="Arial"/>
          <w:color w:val="000000"/>
          <w:sz w:val="20"/>
          <w:szCs w:val="20"/>
        </w:rPr>
        <w:t xml:space="preserve">also </w:t>
      </w:r>
      <w:r w:rsidRPr="00412554">
        <w:rPr>
          <w:rFonts w:ascii="Arial" w:eastAsia="Calibri" w:hAnsi="Arial" w:cs="Arial"/>
          <w:color w:val="000000"/>
          <w:sz w:val="20"/>
          <w:szCs w:val="20"/>
        </w:rPr>
        <w:t xml:space="preserve">will consider alternative explanations for </w:t>
      </w:r>
      <w:r w:rsidR="008D535A">
        <w:rPr>
          <w:rFonts w:ascii="Arial" w:eastAsia="Calibri" w:hAnsi="Arial" w:cs="Arial"/>
          <w:color w:val="000000"/>
          <w:sz w:val="20"/>
          <w:szCs w:val="20"/>
        </w:rPr>
        <w:t xml:space="preserve">the reported </w:t>
      </w:r>
      <w:r w:rsidRPr="00412554">
        <w:rPr>
          <w:rFonts w:ascii="Arial" w:eastAsia="Calibri" w:hAnsi="Arial" w:cs="Arial"/>
          <w:color w:val="000000"/>
          <w:sz w:val="20"/>
          <w:szCs w:val="20"/>
        </w:rPr>
        <w:t>findings, particularly if the evidence from one line of inquiry contradicts that from another, with the greatest weighting afforded high-quality human evidence. Where possible, we will identify possible reasons why evidence conflicts (e.g., a mechanism of toxicity that operates in animals but not in humans).</w:t>
      </w:r>
    </w:p>
    <w:p w14:paraId="1C36F606" w14:textId="09EE83EF" w:rsidR="006B179E" w:rsidRDefault="006B179E" w:rsidP="009F1455">
      <w:pPr>
        <w:spacing w:after="180" w:line="240" w:lineRule="atLeast"/>
        <w:ind w:left="1440"/>
        <w:jc w:val="left"/>
        <w:rPr>
          <w:rFonts w:ascii="Arial" w:eastAsia="Calibri" w:hAnsi="Arial" w:cs="Arial"/>
          <w:color w:val="000000"/>
          <w:sz w:val="20"/>
          <w:szCs w:val="20"/>
        </w:rPr>
      </w:pPr>
      <w:r w:rsidRPr="0087498A">
        <w:rPr>
          <w:rFonts w:ascii="Arial" w:eastAsia="Calibri" w:hAnsi="Arial" w:cs="Arial"/>
          <w:color w:val="000000"/>
          <w:sz w:val="20"/>
          <w:szCs w:val="20"/>
        </w:rPr>
        <w:t>The totality of evidence will be characterized according to IOM classifications</w:t>
      </w:r>
      <w:r w:rsidR="0087498A">
        <w:rPr>
          <w:rFonts w:ascii="Arial" w:eastAsia="Calibri" w:hAnsi="Arial" w:cs="Arial"/>
          <w:color w:val="000000"/>
          <w:sz w:val="20"/>
          <w:szCs w:val="20"/>
        </w:rPr>
        <w:t xml:space="preserve"> </w:t>
      </w:r>
      <w:r w:rsidR="0087498A" w:rsidRPr="0087498A">
        <w:rPr>
          <w:rFonts w:ascii="Arial" w:eastAsia="Calibri" w:hAnsi="Arial" w:cs="Arial"/>
          <w:color w:val="000000"/>
          <w:sz w:val="20"/>
          <w:szCs w:val="20"/>
        </w:rPr>
        <w:t xml:space="preserve">for causation </w:t>
      </w:r>
      <w:r w:rsidR="0087498A">
        <w:rPr>
          <w:rFonts w:ascii="Arial" w:eastAsia="Calibri" w:hAnsi="Arial" w:cs="Arial"/>
          <w:color w:val="000000"/>
          <w:sz w:val="20"/>
          <w:szCs w:val="20"/>
        </w:rPr>
        <w:t>(incorporating fit-for-purposes modification, as necessary)</w:t>
      </w:r>
      <w:r w:rsidRPr="0087498A">
        <w:rPr>
          <w:rFonts w:ascii="Arial" w:eastAsia="Calibri" w:hAnsi="Arial" w:cs="Arial"/>
          <w:color w:val="000000"/>
          <w:sz w:val="20"/>
          <w:szCs w:val="20"/>
        </w:rPr>
        <w:t xml:space="preserve"> detailed in the table below.</w:t>
      </w:r>
      <w:r>
        <w:rPr>
          <w:rFonts w:ascii="Arial" w:eastAsia="Calibri" w:hAnsi="Arial" w:cs="Arial"/>
          <w:color w:val="000000"/>
          <w:sz w:val="20"/>
          <w:szCs w:val="20"/>
        </w:rPr>
        <w:t xml:space="preserve"> </w:t>
      </w:r>
    </w:p>
    <w:p w14:paraId="033A1BA1" w14:textId="62DE2EC5" w:rsidR="006B179E" w:rsidRPr="00412554" w:rsidRDefault="006B179E" w:rsidP="009F1455">
      <w:pPr>
        <w:spacing w:after="180" w:line="240" w:lineRule="atLeast"/>
        <w:ind w:left="1440"/>
        <w:jc w:val="left"/>
        <w:rPr>
          <w:rFonts w:ascii="Arial" w:eastAsia="Calibri" w:hAnsi="Arial" w:cs="Arial"/>
          <w:color w:val="000000"/>
          <w:sz w:val="20"/>
          <w:szCs w:val="20"/>
        </w:rPr>
      </w:pPr>
      <w:r>
        <w:rPr>
          <w:rFonts w:ascii="Arial" w:eastAsia="Calibri" w:hAnsi="Arial" w:cs="Arial"/>
          <w:noProof/>
          <w:color w:val="000000"/>
          <w:sz w:val="20"/>
          <w:szCs w:val="20"/>
        </w:rPr>
        <w:lastRenderedPageBreak/>
        <w:drawing>
          <wp:inline distT="0" distB="0" distL="0" distR="0" wp14:anchorId="00B52A3D" wp14:editId="6B140D21">
            <wp:extent cx="5477740" cy="627189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OM classifications.png"/>
                    <pic:cNvPicPr/>
                  </pic:nvPicPr>
                  <pic:blipFill>
                    <a:blip r:embed="rId9">
                      <a:extLst>
                        <a:ext uri="{28A0092B-C50C-407E-A947-70E740481C1C}">
                          <a14:useLocalDpi xmlns:a14="http://schemas.microsoft.com/office/drawing/2010/main" val="0"/>
                        </a:ext>
                      </a:extLst>
                    </a:blip>
                    <a:stretch>
                      <a:fillRect/>
                    </a:stretch>
                  </pic:blipFill>
                  <pic:spPr>
                    <a:xfrm>
                      <a:off x="0" y="0"/>
                      <a:ext cx="5489029" cy="6284821"/>
                    </a:xfrm>
                    <a:prstGeom prst="rect">
                      <a:avLst/>
                    </a:prstGeom>
                  </pic:spPr>
                </pic:pic>
              </a:graphicData>
            </a:graphic>
          </wp:inline>
        </w:drawing>
      </w:r>
    </w:p>
    <w:p w14:paraId="017B4A6D" w14:textId="6F9DE89B" w:rsidR="006B179E" w:rsidRPr="00412554" w:rsidRDefault="006B179E" w:rsidP="006B179E">
      <w:pPr>
        <w:spacing w:after="180" w:line="240" w:lineRule="atLeast"/>
        <w:ind w:left="1440"/>
        <w:jc w:val="left"/>
        <w:rPr>
          <w:rFonts w:ascii="Arial" w:eastAsia="Calibri" w:hAnsi="Arial" w:cs="Arial"/>
          <w:color w:val="000000"/>
          <w:sz w:val="20"/>
          <w:szCs w:val="20"/>
        </w:rPr>
      </w:pPr>
      <w:r>
        <w:rPr>
          <w:rFonts w:ascii="Arial" w:eastAsia="Calibri" w:hAnsi="Arial" w:cs="Arial"/>
          <w:color w:val="000000"/>
          <w:sz w:val="20"/>
          <w:szCs w:val="20"/>
        </w:rPr>
        <w:t>The results of the evidence integration and causal conclusions will be summarized in a</w:t>
      </w:r>
      <w:r w:rsidR="00986C72" w:rsidRPr="00412554">
        <w:rPr>
          <w:rFonts w:ascii="Arial" w:eastAsia="Calibri" w:hAnsi="Arial" w:cs="Arial"/>
          <w:color w:val="000000"/>
          <w:sz w:val="20"/>
          <w:szCs w:val="20"/>
        </w:rPr>
        <w:t xml:space="preserve"> tabular or other graphic format that highlights evidence for the primary basis for the judgment and any notable features, issues, or uncertainties, </w:t>
      </w:r>
      <w:proofErr w:type="gramStart"/>
      <w:r w:rsidR="00986C72" w:rsidRPr="00412554">
        <w:rPr>
          <w:rFonts w:ascii="Arial" w:eastAsia="Calibri" w:hAnsi="Arial" w:cs="Arial"/>
          <w:color w:val="000000"/>
          <w:sz w:val="20"/>
          <w:szCs w:val="20"/>
        </w:rPr>
        <w:t>similar to</w:t>
      </w:r>
      <w:proofErr w:type="gramEnd"/>
      <w:r w:rsidR="00986C72" w:rsidRPr="00412554">
        <w:rPr>
          <w:rFonts w:ascii="Arial" w:eastAsia="Calibri" w:hAnsi="Arial" w:cs="Arial"/>
          <w:color w:val="000000"/>
          <w:sz w:val="20"/>
          <w:szCs w:val="20"/>
        </w:rPr>
        <w:t xml:space="preserve"> th</w:t>
      </w:r>
      <w:r>
        <w:rPr>
          <w:rFonts w:ascii="Arial" w:eastAsia="Calibri" w:hAnsi="Arial" w:cs="Arial"/>
          <w:color w:val="000000"/>
          <w:sz w:val="20"/>
          <w:szCs w:val="20"/>
        </w:rPr>
        <w:t>e tabular summary</w:t>
      </w:r>
      <w:r w:rsidR="00986C72" w:rsidRPr="00412554">
        <w:rPr>
          <w:rFonts w:ascii="Arial" w:eastAsia="Calibri" w:hAnsi="Arial" w:cs="Arial"/>
          <w:color w:val="000000"/>
          <w:sz w:val="20"/>
          <w:szCs w:val="20"/>
        </w:rPr>
        <w:t xml:space="preserve"> proposed in the recent draft EPA Integrated Risk Information (IRIS) Handbook (EPA, 202</w:t>
      </w:r>
      <w:r>
        <w:rPr>
          <w:rFonts w:ascii="Arial" w:eastAsia="Calibri" w:hAnsi="Arial" w:cs="Arial"/>
          <w:color w:val="000000"/>
          <w:sz w:val="20"/>
          <w:szCs w:val="20"/>
        </w:rPr>
        <w:t>0</w:t>
      </w:r>
      <w:r w:rsidR="00986C72" w:rsidRPr="00412554">
        <w:rPr>
          <w:rFonts w:ascii="Arial" w:eastAsia="Calibri" w:hAnsi="Arial" w:cs="Arial"/>
          <w:color w:val="000000"/>
          <w:sz w:val="20"/>
          <w:szCs w:val="20"/>
        </w:rPr>
        <w:t xml:space="preserve">). </w:t>
      </w:r>
      <w:r>
        <w:rPr>
          <w:rFonts w:ascii="Arial" w:eastAsia="Calibri" w:hAnsi="Arial" w:cs="Arial"/>
          <w:color w:val="000000"/>
          <w:sz w:val="20"/>
          <w:szCs w:val="20"/>
        </w:rPr>
        <w:t xml:space="preserve">A discussion of the level of certainty (or confidence) in the overall body of evidence for each cancer type and the resulting confidence in causal conclusions will also be provided.  </w:t>
      </w:r>
    </w:p>
    <w:p w14:paraId="03D92D21" w14:textId="60280FF3" w:rsidR="00986C72" w:rsidRPr="007373A6" w:rsidRDefault="00986C72" w:rsidP="007373A6">
      <w:pPr>
        <w:pStyle w:val="ListParagraph"/>
        <w:keepNext/>
        <w:keepLines/>
        <w:numPr>
          <w:ilvl w:val="1"/>
          <w:numId w:val="1"/>
        </w:numPr>
        <w:spacing w:before="200" w:after="120" w:line="240" w:lineRule="atLeast"/>
        <w:jc w:val="left"/>
        <w:outlineLvl w:val="1"/>
        <w:rPr>
          <w:rFonts w:ascii="Arial" w:eastAsia="MS Gothic" w:hAnsi="Arial" w:cs="Times New Roman"/>
          <w:b/>
          <w:bCs/>
        </w:rPr>
      </w:pPr>
      <w:bookmarkStart w:id="18" w:name="_Toc69210663"/>
      <w:r w:rsidRPr="007373A6">
        <w:rPr>
          <w:rFonts w:ascii="Arial" w:eastAsia="MS Gothic" w:hAnsi="Arial" w:cs="Times New Roman"/>
          <w:b/>
          <w:bCs/>
        </w:rPr>
        <w:t>Risk Characterization, Uncertainties, and Implications</w:t>
      </w:r>
      <w:bookmarkEnd w:id="18"/>
      <w:r w:rsidRPr="007373A6">
        <w:rPr>
          <w:rFonts w:ascii="Arial" w:eastAsia="MS Gothic" w:hAnsi="Arial" w:cs="Times New Roman"/>
          <w:b/>
          <w:bCs/>
        </w:rPr>
        <w:t xml:space="preserve"> </w:t>
      </w:r>
    </w:p>
    <w:p w14:paraId="7E8F03B7" w14:textId="7B02E3B7" w:rsidR="004E211E" w:rsidRDefault="007373A6" w:rsidP="006B179E">
      <w:pPr>
        <w:spacing w:after="180" w:line="240" w:lineRule="atLeast"/>
        <w:ind w:left="1440"/>
        <w:jc w:val="left"/>
        <w:rPr>
          <w:rFonts w:ascii="Arial" w:eastAsia="Calibri" w:hAnsi="Arial" w:cs="Arial"/>
          <w:color w:val="000000"/>
          <w:sz w:val="20"/>
          <w:szCs w:val="20"/>
        </w:rPr>
      </w:pPr>
      <w:r>
        <w:rPr>
          <w:rFonts w:ascii="Arial" w:eastAsia="Calibri" w:hAnsi="Arial" w:cs="Arial"/>
          <w:color w:val="000000"/>
          <w:sz w:val="20"/>
          <w:szCs w:val="20"/>
        </w:rPr>
        <w:t>Results</w:t>
      </w:r>
      <w:r w:rsidR="00986C72" w:rsidRPr="00412554">
        <w:rPr>
          <w:rFonts w:ascii="Arial" w:eastAsia="Calibri" w:hAnsi="Arial" w:cs="Arial"/>
          <w:color w:val="000000"/>
          <w:sz w:val="20"/>
          <w:szCs w:val="20"/>
        </w:rPr>
        <w:t xml:space="preserve"> of the evidence integration for the cancer hazards of talc, if any, further will be analyzed in the context of risk (i.e., dose-response relationship and levels at which </w:t>
      </w:r>
      <w:r w:rsidR="00986C72" w:rsidRPr="00412554">
        <w:rPr>
          <w:rFonts w:ascii="Arial" w:eastAsia="Calibri" w:hAnsi="Arial" w:cs="Arial"/>
          <w:color w:val="000000"/>
          <w:sz w:val="20"/>
          <w:szCs w:val="20"/>
        </w:rPr>
        <w:lastRenderedPageBreak/>
        <w:t xml:space="preserve">cancer risks might be increased). </w:t>
      </w:r>
      <w:r w:rsidR="006B179E">
        <w:rPr>
          <w:rFonts w:ascii="Arial" w:eastAsia="Calibri" w:hAnsi="Arial" w:cs="Arial"/>
          <w:color w:val="000000"/>
          <w:sz w:val="20"/>
          <w:szCs w:val="20"/>
        </w:rPr>
        <w:t>Key gaps and</w:t>
      </w:r>
      <w:r w:rsidR="00986C72" w:rsidRPr="00412554">
        <w:rPr>
          <w:rFonts w:ascii="Arial" w:eastAsia="Calibri" w:hAnsi="Arial" w:cs="Arial"/>
          <w:color w:val="000000"/>
          <w:sz w:val="20"/>
          <w:szCs w:val="20"/>
        </w:rPr>
        <w:t xml:space="preserve"> uncertainties in the available scientific evidence, and how these might affect legal and political</w:t>
      </w:r>
      <w:r w:rsidR="006B179E">
        <w:rPr>
          <w:rFonts w:ascii="Arial" w:eastAsia="Calibri" w:hAnsi="Arial" w:cs="Arial"/>
          <w:color w:val="000000"/>
          <w:sz w:val="20"/>
          <w:szCs w:val="20"/>
        </w:rPr>
        <w:t xml:space="preserve"> decision-making regarding talc, will be identified</w:t>
      </w:r>
      <w:r w:rsidR="002C1281">
        <w:rPr>
          <w:rFonts w:ascii="Arial" w:eastAsia="Calibri" w:hAnsi="Arial" w:cs="Arial"/>
          <w:color w:val="000000"/>
          <w:sz w:val="20"/>
          <w:szCs w:val="20"/>
        </w:rPr>
        <w:t>.</w:t>
      </w:r>
      <w:r w:rsidR="00986C72" w:rsidRPr="00412554">
        <w:rPr>
          <w:rFonts w:ascii="Arial" w:eastAsia="Calibri" w:hAnsi="Arial" w:cs="Arial"/>
          <w:color w:val="000000"/>
          <w:sz w:val="20"/>
          <w:szCs w:val="20"/>
        </w:rPr>
        <w:t xml:space="preserve"> Where possible, we will provide recommendations for further research and analysis to resolve remaining uncertainties. Lastly, </w:t>
      </w:r>
      <w:r w:rsidR="002C1281">
        <w:rPr>
          <w:rFonts w:ascii="Arial" w:eastAsia="Calibri" w:hAnsi="Arial" w:cs="Arial"/>
          <w:color w:val="000000"/>
          <w:sz w:val="20"/>
          <w:szCs w:val="20"/>
        </w:rPr>
        <w:t xml:space="preserve">we will </w:t>
      </w:r>
      <w:r w:rsidR="00986C72" w:rsidRPr="00412554">
        <w:rPr>
          <w:rFonts w:ascii="Arial" w:eastAsia="Calibri" w:hAnsi="Arial" w:cs="Arial"/>
          <w:color w:val="000000"/>
          <w:sz w:val="20"/>
          <w:szCs w:val="20"/>
        </w:rPr>
        <w:t xml:space="preserve">discuss how the findings of our systematic review relate to previously published agency and peer-reviewed assessments of the human health effects of talc, carefully considering the relative strengths and weaknesses of those reviews </w:t>
      </w:r>
      <w:proofErr w:type="gramStart"/>
      <w:r w:rsidR="00986C72" w:rsidRPr="00412554">
        <w:rPr>
          <w:rFonts w:ascii="Arial" w:eastAsia="Calibri" w:hAnsi="Arial" w:cs="Arial"/>
          <w:color w:val="000000"/>
          <w:sz w:val="20"/>
          <w:szCs w:val="20"/>
        </w:rPr>
        <w:t>in light of</w:t>
      </w:r>
      <w:proofErr w:type="gramEnd"/>
      <w:r w:rsidR="00986C72" w:rsidRPr="00412554">
        <w:rPr>
          <w:rFonts w:ascii="Arial" w:eastAsia="Calibri" w:hAnsi="Arial" w:cs="Arial"/>
          <w:color w:val="000000"/>
          <w:sz w:val="20"/>
          <w:szCs w:val="20"/>
        </w:rPr>
        <w:t xml:space="preserve"> how faithfully their conclusions were based on sound systematic review methods including evidence synthesis and integration, and whether the conclusions should be revised based on more up-to-date published evidence. </w:t>
      </w:r>
      <w:r w:rsidR="0014411A">
        <w:rPr>
          <w:rFonts w:ascii="Arial" w:eastAsia="Calibri" w:hAnsi="Arial" w:cs="Arial"/>
          <w:color w:val="000000"/>
          <w:sz w:val="20"/>
          <w:szCs w:val="20"/>
        </w:rPr>
        <w:t>If appropriate, the results of the comparison of the reviews will be summarized in a</w:t>
      </w:r>
      <w:r w:rsidR="0014411A" w:rsidRPr="00412554">
        <w:rPr>
          <w:rFonts w:ascii="Arial" w:eastAsia="Calibri" w:hAnsi="Arial" w:cs="Arial"/>
          <w:color w:val="000000"/>
          <w:sz w:val="20"/>
          <w:szCs w:val="20"/>
        </w:rPr>
        <w:t xml:space="preserve"> tabular or o</w:t>
      </w:r>
      <w:r w:rsidR="0014411A">
        <w:rPr>
          <w:rFonts w:ascii="Arial" w:eastAsia="Calibri" w:hAnsi="Arial" w:cs="Arial"/>
          <w:color w:val="000000"/>
          <w:sz w:val="20"/>
          <w:szCs w:val="20"/>
        </w:rPr>
        <w:t>ther graphic format that highlight the different strengths and weaknesses.</w:t>
      </w:r>
    </w:p>
    <w:p w14:paraId="463C1C75" w14:textId="003192BD" w:rsidR="00D906F2" w:rsidRDefault="008350B1" w:rsidP="008350B1">
      <w:pPr>
        <w:spacing w:after="180" w:line="240" w:lineRule="atLeast"/>
        <w:ind w:left="1440"/>
        <w:jc w:val="left"/>
        <w:rPr>
          <w:rFonts w:ascii="Arial" w:eastAsia="Calibri" w:hAnsi="Arial" w:cs="Arial"/>
          <w:color w:val="000000"/>
          <w:sz w:val="20"/>
          <w:szCs w:val="20"/>
        </w:rPr>
      </w:pPr>
      <w:r w:rsidRPr="008350B1">
        <w:rPr>
          <w:rFonts w:ascii="Arial" w:eastAsia="Calibri" w:hAnsi="Arial" w:cs="Arial"/>
          <w:color w:val="000000"/>
          <w:sz w:val="20"/>
          <w:szCs w:val="20"/>
        </w:rPr>
        <w:t>The methods, data inputs and results of our systematic review of talc will be presented in a manuscript suitable for submission to a peer-reviewed journal.</w:t>
      </w:r>
      <w:r>
        <w:rPr>
          <w:rFonts w:ascii="Arial" w:eastAsia="Calibri" w:hAnsi="Arial" w:cs="Arial"/>
          <w:color w:val="000000"/>
          <w:sz w:val="20"/>
          <w:szCs w:val="20"/>
        </w:rPr>
        <w:t xml:space="preserve"> Prior to submission to the journal, the completed analysis will undergo internal review by all authors and internal editors and expert review </w:t>
      </w:r>
      <w:r>
        <w:rPr>
          <w:rFonts w:ascii="Arial" w:eastAsia="Calibri" w:hAnsi="Arial" w:cs="Arial"/>
          <w:sz w:val="20"/>
          <w:szCs w:val="20"/>
        </w:rPr>
        <w:t>Dr</w:t>
      </w:r>
      <w:r w:rsidR="00792846">
        <w:rPr>
          <w:rFonts w:ascii="Arial" w:eastAsia="Calibri" w:hAnsi="Arial" w:cs="Arial"/>
          <w:sz w:val="20"/>
          <w:szCs w:val="20"/>
        </w:rPr>
        <w:t xml:space="preserve">. </w:t>
      </w:r>
      <w:proofErr w:type="spellStart"/>
      <w:r>
        <w:rPr>
          <w:rFonts w:ascii="Arial" w:eastAsia="Calibri" w:hAnsi="Arial" w:cs="Arial"/>
          <w:sz w:val="20"/>
          <w:szCs w:val="20"/>
        </w:rPr>
        <w:t>Boffetta</w:t>
      </w:r>
      <w:proofErr w:type="spellEnd"/>
      <w:r>
        <w:rPr>
          <w:rFonts w:ascii="Arial" w:eastAsia="Calibri" w:hAnsi="Arial" w:cs="Arial"/>
          <w:sz w:val="20"/>
          <w:szCs w:val="20"/>
        </w:rPr>
        <w:t>.</w:t>
      </w:r>
      <w:r>
        <w:rPr>
          <w:rFonts w:ascii="Arial" w:eastAsia="Calibri" w:hAnsi="Arial" w:cs="Arial"/>
          <w:color w:val="000000"/>
          <w:sz w:val="20"/>
          <w:szCs w:val="20"/>
        </w:rPr>
        <w:t xml:space="preserve"> </w:t>
      </w:r>
    </w:p>
    <w:p w14:paraId="280F5D7D" w14:textId="27FB38DB" w:rsidR="00792846" w:rsidRDefault="00792846" w:rsidP="00792846">
      <w:pPr>
        <w:pStyle w:val="ListParagraph"/>
        <w:keepNext/>
        <w:keepLines/>
        <w:numPr>
          <w:ilvl w:val="1"/>
          <w:numId w:val="1"/>
        </w:numPr>
        <w:spacing w:before="200" w:after="120" w:line="240" w:lineRule="atLeast"/>
        <w:jc w:val="left"/>
        <w:outlineLvl w:val="1"/>
        <w:rPr>
          <w:rFonts w:ascii="Arial" w:eastAsia="MS Gothic" w:hAnsi="Arial" w:cs="Times New Roman"/>
          <w:b/>
          <w:bCs/>
        </w:rPr>
      </w:pPr>
      <w:r>
        <w:rPr>
          <w:rFonts w:ascii="Arial" w:eastAsia="MS Gothic" w:hAnsi="Arial" w:cs="Times New Roman"/>
          <w:b/>
          <w:bCs/>
        </w:rPr>
        <w:t>Protocol Modifications</w:t>
      </w:r>
      <w:r>
        <w:rPr>
          <w:rFonts w:ascii="Arial" w:eastAsia="MS Gothic" w:hAnsi="Arial" w:cs="Times New Roman"/>
          <w:b/>
          <w:bCs/>
        </w:rPr>
        <w:tab/>
      </w:r>
    </w:p>
    <w:p w14:paraId="6BC0E9EB" w14:textId="5B90C3D5" w:rsidR="00792846" w:rsidRPr="00792846" w:rsidRDefault="00792846" w:rsidP="00792846">
      <w:pPr>
        <w:keepNext/>
        <w:keepLines/>
        <w:spacing w:before="200" w:after="120" w:line="240" w:lineRule="atLeast"/>
        <w:ind w:left="1440"/>
        <w:jc w:val="left"/>
        <w:outlineLvl w:val="1"/>
        <w:rPr>
          <w:rFonts w:ascii="Arial" w:eastAsia="Calibri" w:hAnsi="Arial" w:cs="Arial"/>
          <w:color w:val="000000"/>
          <w:sz w:val="20"/>
          <w:szCs w:val="20"/>
        </w:rPr>
      </w:pPr>
      <w:r w:rsidRPr="00792846">
        <w:rPr>
          <w:rFonts w:ascii="Arial" w:eastAsia="Calibri" w:hAnsi="Arial" w:cs="Arial"/>
          <w:color w:val="000000"/>
          <w:sz w:val="20"/>
          <w:szCs w:val="20"/>
        </w:rPr>
        <w:t>During the review of tertiary literatu</w:t>
      </w:r>
      <w:r>
        <w:rPr>
          <w:rFonts w:ascii="Arial" w:eastAsia="Calibri" w:hAnsi="Arial" w:cs="Arial"/>
          <w:color w:val="000000"/>
          <w:sz w:val="20"/>
          <w:szCs w:val="20"/>
        </w:rPr>
        <w:t>re (reviews and meta-analyses),</w:t>
      </w:r>
      <w:r w:rsidRPr="00792846">
        <w:rPr>
          <w:rFonts w:ascii="Arial" w:eastAsia="Calibri" w:hAnsi="Arial" w:cs="Arial"/>
          <w:color w:val="000000"/>
          <w:sz w:val="20"/>
          <w:szCs w:val="20"/>
        </w:rPr>
        <w:t xml:space="preserve"> the AMSTAR tool </w:t>
      </w:r>
      <w:r>
        <w:rPr>
          <w:rFonts w:ascii="Arial" w:eastAsia="Calibri" w:hAnsi="Arial" w:cs="Arial"/>
          <w:color w:val="000000"/>
          <w:sz w:val="20"/>
          <w:szCs w:val="20"/>
        </w:rPr>
        <w:t>was</w:t>
      </w:r>
      <w:r w:rsidRPr="00792846">
        <w:rPr>
          <w:rFonts w:ascii="Arial" w:eastAsia="Calibri" w:hAnsi="Arial" w:cs="Arial"/>
          <w:color w:val="000000"/>
          <w:sz w:val="20"/>
          <w:szCs w:val="20"/>
        </w:rPr>
        <w:t xml:space="preserve"> applied to four studies. However, it became clear </w:t>
      </w:r>
      <w:r>
        <w:rPr>
          <w:rFonts w:ascii="Arial" w:eastAsia="Calibri" w:hAnsi="Arial" w:cs="Arial"/>
          <w:color w:val="000000"/>
          <w:sz w:val="20"/>
          <w:szCs w:val="20"/>
        </w:rPr>
        <w:t>that the tool was not amenable to application to meta-analysis or critical reviews that were not conducted within a formal systematic review framework because, for example, AMSTAR criteria would necessitate rating all studies as “critically deficient.” No alternative standardized system for evaluating reviews and meta-</w:t>
      </w:r>
      <w:r w:rsidR="00AF70F2">
        <w:rPr>
          <w:rFonts w:ascii="Arial" w:eastAsia="Calibri" w:hAnsi="Arial" w:cs="Arial"/>
          <w:color w:val="000000"/>
          <w:sz w:val="20"/>
          <w:szCs w:val="20"/>
        </w:rPr>
        <w:t>analyses</w:t>
      </w:r>
      <w:r>
        <w:rPr>
          <w:rFonts w:ascii="Arial" w:eastAsia="Calibri" w:hAnsi="Arial" w:cs="Arial"/>
          <w:color w:val="000000"/>
          <w:sz w:val="20"/>
          <w:szCs w:val="20"/>
        </w:rPr>
        <w:t xml:space="preserve"> in depth (beyond a checklist, such as PRISMA) were </w:t>
      </w:r>
      <w:r w:rsidR="00AF70F2">
        <w:rPr>
          <w:rFonts w:ascii="Arial" w:eastAsia="Calibri" w:hAnsi="Arial" w:cs="Arial"/>
          <w:color w:val="000000"/>
          <w:sz w:val="20"/>
          <w:szCs w:val="20"/>
        </w:rPr>
        <w:t>identified</w:t>
      </w:r>
      <w:r>
        <w:rPr>
          <w:rFonts w:ascii="Arial" w:eastAsia="Calibri" w:hAnsi="Arial" w:cs="Arial"/>
          <w:color w:val="000000"/>
          <w:sz w:val="20"/>
          <w:szCs w:val="20"/>
        </w:rPr>
        <w:t xml:space="preserve">. The decision was made to discuss any high-level strengths and weakness of the reviews, without a formal review process. </w:t>
      </w:r>
    </w:p>
    <w:p w14:paraId="08D6FCA9" w14:textId="77777777" w:rsidR="00792846" w:rsidRPr="006B179E" w:rsidRDefault="00792846" w:rsidP="008350B1">
      <w:pPr>
        <w:spacing w:after="180" w:line="240" w:lineRule="atLeast"/>
        <w:ind w:left="1440"/>
        <w:jc w:val="left"/>
        <w:rPr>
          <w:rFonts w:ascii="Arial" w:eastAsia="Calibri" w:hAnsi="Arial" w:cs="Arial"/>
          <w:color w:val="000000"/>
          <w:sz w:val="20"/>
          <w:szCs w:val="20"/>
        </w:rPr>
      </w:pPr>
    </w:p>
    <w:sectPr w:rsidR="00792846" w:rsidRPr="006B179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185A" w14:textId="77777777" w:rsidR="005E6B5A" w:rsidRDefault="005E6B5A" w:rsidP="00986C72">
      <w:r>
        <w:separator/>
      </w:r>
    </w:p>
  </w:endnote>
  <w:endnote w:type="continuationSeparator" w:id="0">
    <w:p w14:paraId="7B4C2A3F" w14:textId="77777777" w:rsidR="005E6B5A" w:rsidRDefault="005E6B5A" w:rsidP="0098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543277"/>
      <w:docPartObj>
        <w:docPartGallery w:val="Page Numbers (Bottom of Page)"/>
        <w:docPartUnique/>
      </w:docPartObj>
    </w:sdtPr>
    <w:sdtEndPr>
      <w:rPr>
        <w:rFonts w:ascii="Arial" w:hAnsi="Arial" w:cs="Arial"/>
        <w:noProof/>
        <w:sz w:val="20"/>
      </w:rPr>
    </w:sdtEndPr>
    <w:sdtContent>
      <w:p w14:paraId="325A43BB" w14:textId="78E4A17D" w:rsidR="00986C72" w:rsidRPr="00412554" w:rsidRDefault="00986C72">
        <w:pPr>
          <w:pStyle w:val="Footer"/>
          <w:jc w:val="center"/>
          <w:rPr>
            <w:rFonts w:ascii="Arial" w:hAnsi="Arial" w:cs="Arial"/>
            <w:sz w:val="20"/>
          </w:rPr>
        </w:pPr>
        <w:r w:rsidRPr="00412554">
          <w:rPr>
            <w:rFonts w:ascii="Arial" w:hAnsi="Arial" w:cs="Arial"/>
            <w:sz w:val="20"/>
          </w:rPr>
          <w:fldChar w:fldCharType="begin"/>
        </w:r>
        <w:r w:rsidRPr="00412554">
          <w:rPr>
            <w:rFonts w:ascii="Arial" w:hAnsi="Arial" w:cs="Arial"/>
            <w:sz w:val="20"/>
          </w:rPr>
          <w:instrText xml:space="preserve"> PAGE   \* MERGEFORMAT </w:instrText>
        </w:r>
        <w:r w:rsidRPr="00412554">
          <w:rPr>
            <w:rFonts w:ascii="Arial" w:hAnsi="Arial" w:cs="Arial"/>
            <w:sz w:val="20"/>
          </w:rPr>
          <w:fldChar w:fldCharType="separate"/>
        </w:r>
        <w:r w:rsidR="008B3A88">
          <w:rPr>
            <w:rFonts w:ascii="Arial" w:hAnsi="Arial" w:cs="Arial"/>
            <w:noProof/>
            <w:sz w:val="20"/>
          </w:rPr>
          <w:t>6</w:t>
        </w:r>
        <w:r w:rsidRPr="00412554">
          <w:rPr>
            <w:rFonts w:ascii="Arial" w:hAnsi="Arial" w:cs="Arial"/>
            <w:noProof/>
            <w:sz w:val="20"/>
          </w:rPr>
          <w:fldChar w:fldCharType="end"/>
        </w:r>
      </w:p>
    </w:sdtContent>
  </w:sdt>
  <w:p w14:paraId="4BE5271D" w14:textId="77777777" w:rsidR="00986C72" w:rsidRDefault="0098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8C5F" w14:textId="77777777" w:rsidR="005E6B5A" w:rsidRDefault="005E6B5A" w:rsidP="00986C72">
      <w:r>
        <w:separator/>
      </w:r>
    </w:p>
  </w:footnote>
  <w:footnote w:type="continuationSeparator" w:id="0">
    <w:p w14:paraId="53B281F0" w14:textId="77777777" w:rsidR="005E6B5A" w:rsidRDefault="005E6B5A" w:rsidP="00986C72">
      <w:r>
        <w:continuationSeparator/>
      </w:r>
    </w:p>
  </w:footnote>
  <w:footnote w:id="1">
    <w:p w14:paraId="1FDC006E" w14:textId="77777777" w:rsidR="009360D5" w:rsidRPr="00A82E26" w:rsidRDefault="009360D5" w:rsidP="009360D5">
      <w:pPr>
        <w:pStyle w:val="FootnoteText"/>
        <w:spacing w:after="40"/>
        <w:rPr>
          <w:rFonts w:ascii="Arial" w:hAnsi="Arial" w:cs="Arial"/>
          <w:color w:val="262626" w:themeColor="text1" w:themeTint="D9"/>
          <w:sz w:val="18"/>
        </w:rPr>
      </w:pPr>
      <w:r w:rsidRPr="00A82E26">
        <w:rPr>
          <w:rStyle w:val="FootnoteReference"/>
          <w:rFonts w:ascii="Arial" w:hAnsi="Arial" w:cs="Arial"/>
          <w:color w:val="262626" w:themeColor="text1" w:themeTint="D9"/>
          <w:sz w:val="18"/>
        </w:rPr>
        <w:footnoteRef/>
      </w:r>
      <w:r w:rsidRPr="00A82E26">
        <w:rPr>
          <w:rFonts w:ascii="Arial" w:hAnsi="Arial" w:cs="Arial"/>
          <w:color w:val="262626" w:themeColor="text1" w:themeTint="D9"/>
          <w:sz w:val="18"/>
        </w:rPr>
        <w:t xml:space="preserve"> Fiume MM, Boyer I, et al. Safety Assessment of Talc as Used in Cosmetics. Int J </w:t>
      </w:r>
      <w:proofErr w:type="spellStart"/>
      <w:r w:rsidRPr="00A82E26">
        <w:rPr>
          <w:rFonts w:ascii="Arial" w:hAnsi="Arial" w:cs="Arial"/>
          <w:color w:val="262626" w:themeColor="text1" w:themeTint="D9"/>
          <w:sz w:val="18"/>
        </w:rPr>
        <w:t>Toxicol</w:t>
      </w:r>
      <w:proofErr w:type="spellEnd"/>
      <w:r w:rsidRPr="00A82E26">
        <w:rPr>
          <w:rFonts w:ascii="Arial" w:hAnsi="Arial" w:cs="Arial"/>
          <w:color w:val="262626" w:themeColor="text1" w:themeTint="D9"/>
          <w:sz w:val="18"/>
        </w:rPr>
        <w:t xml:space="preserve"> 2015; 34:66S-129S.</w:t>
      </w:r>
    </w:p>
  </w:footnote>
  <w:footnote w:id="2">
    <w:p w14:paraId="3C160BE1" w14:textId="77777777" w:rsidR="00B13362" w:rsidRDefault="00B13362" w:rsidP="00B13362">
      <w:pPr>
        <w:pStyle w:val="FootnoteText"/>
        <w:spacing w:after="40"/>
      </w:pPr>
      <w:r>
        <w:rPr>
          <w:rStyle w:val="FootnoteReference"/>
        </w:rPr>
        <w:footnoteRef/>
      </w:r>
      <w:r>
        <w:t xml:space="preserve"> </w:t>
      </w:r>
      <w:r w:rsidRPr="004265DF">
        <w:rPr>
          <w:rFonts w:ascii="Arial" w:hAnsi="Arial" w:cs="Arial"/>
          <w:color w:val="262626" w:themeColor="text1" w:themeTint="D9"/>
          <w:sz w:val="18"/>
        </w:rPr>
        <w:t>Institute of Medicine 2008. Impro</w:t>
      </w:r>
      <w:r>
        <w:rPr>
          <w:rFonts w:ascii="Arial" w:hAnsi="Arial" w:cs="Arial"/>
          <w:color w:val="262626" w:themeColor="text1" w:themeTint="D9"/>
          <w:sz w:val="18"/>
        </w:rPr>
        <w:t xml:space="preserve">ving the Presumptive Disability </w:t>
      </w:r>
      <w:r w:rsidRPr="004265DF">
        <w:rPr>
          <w:rFonts w:ascii="Arial" w:hAnsi="Arial" w:cs="Arial"/>
          <w:color w:val="262626" w:themeColor="text1" w:themeTint="D9"/>
          <w:sz w:val="18"/>
        </w:rPr>
        <w:t>Decision-Making Process for Veterans. Washington</w:t>
      </w:r>
      <w:r>
        <w:rPr>
          <w:rFonts w:ascii="Arial" w:hAnsi="Arial" w:cs="Arial"/>
          <w:color w:val="262626" w:themeColor="text1" w:themeTint="D9"/>
          <w:sz w:val="18"/>
        </w:rPr>
        <w:t xml:space="preserve">, DC: The National Academies </w:t>
      </w:r>
      <w:r w:rsidRPr="004265DF">
        <w:rPr>
          <w:rFonts w:ascii="Arial" w:hAnsi="Arial" w:cs="Arial"/>
          <w:color w:val="262626" w:themeColor="text1" w:themeTint="D9"/>
          <w:sz w:val="18"/>
        </w:rPr>
        <w:t>Press. https://doi.org/10.17226/11908.</w:t>
      </w:r>
    </w:p>
  </w:footnote>
  <w:footnote w:id="3">
    <w:p w14:paraId="34D2784D" w14:textId="77777777" w:rsidR="00B13362" w:rsidRPr="00A82E26" w:rsidRDefault="00B13362" w:rsidP="00B13362">
      <w:pPr>
        <w:pStyle w:val="FootnoteText"/>
        <w:spacing w:after="40"/>
        <w:rPr>
          <w:rFonts w:ascii="Arial" w:hAnsi="Arial" w:cs="Arial"/>
          <w:color w:val="262626" w:themeColor="text1" w:themeTint="D9"/>
          <w:sz w:val="18"/>
        </w:rPr>
      </w:pPr>
      <w:r w:rsidRPr="00A82E26">
        <w:rPr>
          <w:rStyle w:val="FootnoteReference"/>
          <w:color w:val="262626" w:themeColor="text1" w:themeTint="D9"/>
        </w:rPr>
        <w:footnoteRef/>
      </w:r>
      <w:r w:rsidRPr="00A82E26">
        <w:rPr>
          <w:color w:val="262626" w:themeColor="text1" w:themeTint="D9"/>
        </w:rPr>
        <w:t xml:space="preserve"> </w:t>
      </w:r>
      <w:r w:rsidRPr="00A82E26">
        <w:rPr>
          <w:rFonts w:ascii="Arial" w:hAnsi="Arial" w:cs="Arial"/>
          <w:color w:val="262626" w:themeColor="text1" w:themeTint="D9"/>
          <w:sz w:val="18"/>
        </w:rPr>
        <w:t xml:space="preserve">United States Environmental Protection Agency (US EPA). 2018. Application of Systematic Review in TSCA Risk Evaluations. EPA Document # 740-P1-8001. Office of Chemical Safety and Pollution Prevention, US EPA, Washington, DC. </w:t>
      </w:r>
    </w:p>
  </w:footnote>
  <w:footnote w:id="4">
    <w:p w14:paraId="095DF958" w14:textId="77777777" w:rsidR="00B13362" w:rsidRDefault="00B13362" w:rsidP="00B13362">
      <w:pPr>
        <w:pStyle w:val="FootnoteText"/>
        <w:spacing w:after="40"/>
      </w:pPr>
      <w:r w:rsidRPr="00A82E26">
        <w:rPr>
          <w:rStyle w:val="FootnoteReference"/>
          <w:rFonts w:ascii="Arial" w:hAnsi="Arial" w:cs="Arial"/>
          <w:color w:val="262626" w:themeColor="text1" w:themeTint="D9"/>
          <w:sz w:val="18"/>
        </w:rPr>
        <w:footnoteRef/>
      </w:r>
      <w:r w:rsidRPr="00A82E26">
        <w:rPr>
          <w:rFonts w:ascii="Arial" w:hAnsi="Arial" w:cs="Arial"/>
          <w:color w:val="262626" w:themeColor="text1" w:themeTint="D9"/>
          <w:sz w:val="18"/>
        </w:rPr>
        <w:t xml:space="preserve"> NTP. Handbook for Conducting a Literature-Based Health Assessment Using OHAT Approach for Systematic Review and Evidence Integration. March 4, 2019. Research Triangle Park, NC Office of Health Assessment and Translation (OHAT), Division of the National Toxicology Program, National Institute of Environmental Health Sciences; 2019</w:t>
      </w:r>
      <w:r w:rsidRPr="00A82E26">
        <w:rPr>
          <w:rFonts w:ascii="Arial" w:hAnsi="Arial" w:cs="Arial"/>
          <w:sz w:val="18"/>
        </w:rPr>
        <w:t>.</w:t>
      </w:r>
    </w:p>
  </w:footnote>
  <w:footnote w:id="5">
    <w:p w14:paraId="59E072DD" w14:textId="77777777" w:rsidR="00986C72" w:rsidRPr="00A82E26" w:rsidRDefault="00986C72" w:rsidP="00986C72">
      <w:pPr>
        <w:pStyle w:val="FootnoteText"/>
        <w:spacing w:after="40"/>
        <w:rPr>
          <w:rFonts w:ascii="Arial" w:hAnsi="Arial" w:cs="Arial"/>
          <w:color w:val="262626" w:themeColor="text1" w:themeTint="D9"/>
          <w:sz w:val="18"/>
        </w:rPr>
      </w:pPr>
      <w:r w:rsidRPr="00A82E26">
        <w:rPr>
          <w:rStyle w:val="FootnoteReference"/>
          <w:rFonts w:ascii="Arial" w:hAnsi="Arial" w:cs="Arial"/>
          <w:color w:val="262626" w:themeColor="text1" w:themeTint="D9"/>
          <w:sz w:val="18"/>
        </w:rPr>
        <w:footnoteRef/>
      </w:r>
      <w:r w:rsidRPr="00A82E26">
        <w:rPr>
          <w:rFonts w:ascii="Arial" w:hAnsi="Arial" w:cs="Arial"/>
          <w:color w:val="262626" w:themeColor="text1" w:themeTint="D9"/>
          <w:sz w:val="18"/>
        </w:rPr>
        <w:t xml:space="preserve"> Shea BJ, Grimshaw JM, et al. Development of AMSTAR: a measurement tool to assess the methodological quality of systematic reviews. BMC Med Res </w:t>
      </w:r>
      <w:proofErr w:type="spellStart"/>
      <w:r w:rsidRPr="00A82E26">
        <w:rPr>
          <w:rFonts w:ascii="Arial" w:hAnsi="Arial" w:cs="Arial"/>
          <w:color w:val="262626" w:themeColor="text1" w:themeTint="D9"/>
          <w:sz w:val="18"/>
        </w:rPr>
        <w:t>Methodol</w:t>
      </w:r>
      <w:proofErr w:type="spellEnd"/>
      <w:r w:rsidRPr="00A82E26">
        <w:rPr>
          <w:rFonts w:ascii="Arial" w:hAnsi="Arial" w:cs="Arial"/>
          <w:color w:val="262626" w:themeColor="text1" w:themeTint="D9"/>
          <w:sz w:val="18"/>
        </w:rPr>
        <w:t xml:space="preserve">. 2007; 7:10.  </w:t>
      </w:r>
    </w:p>
    <w:p w14:paraId="12A3614E" w14:textId="77777777" w:rsidR="00986C72" w:rsidRDefault="00856479" w:rsidP="00986C72">
      <w:pPr>
        <w:pStyle w:val="FootnoteText"/>
        <w:spacing w:after="40"/>
      </w:pPr>
      <w:hyperlink r:id="rId1" w:history="1">
        <w:r w:rsidR="00986C72" w:rsidRPr="00A82E26">
          <w:rPr>
            <w:rStyle w:val="Hyperlink"/>
            <w:rFonts w:ascii="Arial" w:hAnsi="Arial" w:cs="Arial"/>
            <w:color w:val="262626" w:themeColor="text1" w:themeTint="D9"/>
            <w:sz w:val="18"/>
          </w:rPr>
          <w:t>https://amstar.ca/docs/Publication%20-%20Development%20of%20AMSTAR.pdf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7A92" w14:textId="56D80C74" w:rsidR="00986C72" w:rsidRPr="00412554" w:rsidRDefault="0090292D">
    <w:pPr>
      <w:pStyle w:val="Header"/>
      <w:rPr>
        <w:rFonts w:ascii="Arial" w:hAnsi="Arial" w:cs="Arial"/>
        <w:sz w:val="20"/>
      </w:rPr>
    </w:pPr>
    <w:r>
      <w:rPr>
        <w:rFonts w:ascii="Arial" w:hAnsi="Arial" w:cs="Arial"/>
        <w:sz w:val="20"/>
      </w:rPr>
      <w:t>Talc Systematic Review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14"/>
    <w:multiLevelType w:val="hybridMultilevel"/>
    <w:tmpl w:val="D6A8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63117"/>
    <w:multiLevelType w:val="multilevel"/>
    <w:tmpl w:val="E5F692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DB1102C"/>
    <w:multiLevelType w:val="hybridMultilevel"/>
    <w:tmpl w:val="5642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76BA6"/>
    <w:multiLevelType w:val="hybridMultilevel"/>
    <w:tmpl w:val="FC8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46268"/>
    <w:multiLevelType w:val="hybridMultilevel"/>
    <w:tmpl w:val="D0F4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902647">
    <w:abstractNumId w:val="1"/>
  </w:num>
  <w:num w:numId="2" w16cid:durableId="362705323">
    <w:abstractNumId w:val="3"/>
  </w:num>
  <w:num w:numId="3" w16cid:durableId="777410679">
    <w:abstractNumId w:val="4"/>
  </w:num>
  <w:num w:numId="4" w16cid:durableId="1117992764">
    <w:abstractNumId w:val="2"/>
  </w:num>
  <w:num w:numId="5" w16cid:durableId="69068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60"/>
    <w:rsid w:val="00006022"/>
    <w:rsid w:val="00013369"/>
    <w:rsid w:val="000255A0"/>
    <w:rsid w:val="000A00A3"/>
    <w:rsid w:val="000B4F5B"/>
    <w:rsid w:val="000D4E91"/>
    <w:rsid w:val="0010337F"/>
    <w:rsid w:val="0014411A"/>
    <w:rsid w:val="001550A9"/>
    <w:rsid w:val="001637AC"/>
    <w:rsid w:val="001A572A"/>
    <w:rsid w:val="001D04F9"/>
    <w:rsid w:val="001F0628"/>
    <w:rsid w:val="001F49D9"/>
    <w:rsid w:val="002036FC"/>
    <w:rsid w:val="0022535A"/>
    <w:rsid w:val="00252A6A"/>
    <w:rsid w:val="002628A6"/>
    <w:rsid w:val="00273666"/>
    <w:rsid w:val="00277B86"/>
    <w:rsid w:val="0028191C"/>
    <w:rsid w:val="00284B7A"/>
    <w:rsid w:val="002A75C1"/>
    <w:rsid w:val="002C1281"/>
    <w:rsid w:val="00305460"/>
    <w:rsid w:val="00310987"/>
    <w:rsid w:val="00312CD2"/>
    <w:rsid w:val="0031618A"/>
    <w:rsid w:val="003210AE"/>
    <w:rsid w:val="00322976"/>
    <w:rsid w:val="00337602"/>
    <w:rsid w:val="00376747"/>
    <w:rsid w:val="00395E5E"/>
    <w:rsid w:val="003A52A8"/>
    <w:rsid w:val="003D27AA"/>
    <w:rsid w:val="003D46A8"/>
    <w:rsid w:val="004265DF"/>
    <w:rsid w:val="004409A2"/>
    <w:rsid w:val="004A4A52"/>
    <w:rsid w:val="00500100"/>
    <w:rsid w:val="005527D9"/>
    <w:rsid w:val="00563219"/>
    <w:rsid w:val="0057255F"/>
    <w:rsid w:val="00584284"/>
    <w:rsid w:val="005852E4"/>
    <w:rsid w:val="005B56C5"/>
    <w:rsid w:val="005E6B5A"/>
    <w:rsid w:val="00662D9C"/>
    <w:rsid w:val="00672A33"/>
    <w:rsid w:val="00675D9C"/>
    <w:rsid w:val="00680772"/>
    <w:rsid w:val="0068303A"/>
    <w:rsid w:val="006B179E"/>
    <w:rsid w:val="006D6BB3"/>
    <w:rsid w:val="006E67BF"/>
    <w:rsid w:val="00706BAE"/>
    <w:rsid w:val="00722320"/>
    <w:rsid w:val="007321B3"/>
    <w:rsid w:val="007373A6"/>
    <w:rsid w:val="00757E4D"/>
    <w:rsid w:val="00766595"/>
    <w:rsid w:val="00792846"/>
    <w:rsid w:val="007A2FFA"/>
    <w:rsid w:val="007C3C29"/>
    <w:rsid w:val="007D1400"/>
    <w:rsid w:val="007E08E9"/>
    <w:rsid w:val="007F2EA1"/>
    <w:rsid w:val="00824CDF"/>
    <w:rsid w:val="008350B1"/>
    <w:rsid w:val="00840288"/>
    <w:rsid w:val="00856479"/>
    <w:rsid w:val="008664EC"/>
    <w:rsid w:val="0087498A"/>
    <w:rsid w:val="00896A71"/>
    <w:rsid w:val="008979E2"/>
    <w:rsid w:val="008A0561"/>
    <w:rsid w:val="008A647D"/>
    <w:rsid w:val="008B3A88"/>
    <w:rsid w:val="008B6749"/>
    <w:rsid w:val="008D535A"/>
    <w:rsid w:val="008E2B16"/>
    <w:rsid w:val="008E2DE6"/>
    <w:rsid w:val="008F0DCD"/>
    <w:rsid w:val="0090292D"/>
    <w:rsid w:val="009360D5"/>
    <w:rsid w:val="00941E01"/>
    <w:rsid w:val="00953296"/>
    <w:rsid w:val="00955170"/>
    <w:rsid w:val="0095686F"/>
    <w:rsid w:val="00970B13"/>
    <w:rsid w:val="00977349"/>
    <w:rsid w:val="00986C72"/>
    <w:rsid w:val="009A1860"/>
    <w:rsid w:val="009D49D8"/>
    <w:rsid w:val="009D7917"/>
    <w:rsid w:val="009F1455"/>
    <w:rsid w:val="00A01ADB"/>
    <w:rsid w:val="00A25450"/>
    <w:rsid w:val="00A3248B"/>
    <w:rsid w:val="00A44B55"/>
    <w:rsid w:val="00A91983"/>
    <w:rsid w:val="00AC232F"/>
    <w:rsid w:val="00AF70F2"/>
    <w:rsid w:val="00B01732"/>
    <w:rsid w:val="00B13362"/>
    <w:rsid w:val="00B15507"/>
    <w:rsid w:val="00B166FC"/>
    <w:rsid w:val="00B53403"/>
    <w:rsid w:val="00B62667"/>
    <w:rsid w:val="00B62C19"/>
    <w:rsid w:val="00B907CC"/>
    <w:rsid w:val="00BB06F3"/>
    <w:rsid w:val="00BE6453"/>
    <w:rsid w:val="00BF3AD6"/>
    <w:rsid w:val="00C13FF5"/>
    <w:rsid w:val="00C575A8"/>
    <w:rsid w:val="00C60385"/>
    <w:rsid w:val="00CA3713"/>
    <w:rsid w:val="00CA3F06"/>
    <w:rsid w:val="00CB50FD"/>
    <w:rsid w:val="00CF462E"/>
    <w:rsid w:val="00D01C3A"/>
    <w:rsid w:val="00D128EF"/>
    <w:rsid w:val="00D13D31"/>
    <w:rsid w:val="00D17E46"/>
    <w:rsid w:val="00D511E7"/>
    <w:rsid w:val="00D66D02"/>
    <w:rsid w:val="00D906F2"/>
    <w:rsid w:val="00D9646A"/>
    <w:rsid w:val="00DD23B0"/>
    <w:rsid w:val="00DF1738"/>
    <w:rsid w:val="00E0259D"/>
    <w:rsid w:val="00E044A7"/>
    <w:rsid w:val="00E2324F"/>
    <w:rsid w:val="00E938D3"/>
    <w:rsid w:val="00EC3414"/>
    <w:rsid w:val="00F96B76"/>
    <w:rsid w:val="00FD314A"/>
    <w:rsid w:val="00FE34F0"/>
    <w:rsid w:val="00FE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E0999"/>
  <w15:chartTrackingRefBased/>
  <w15:docId w15:val="{224BA15E-C2B2-4922-A17F-3B1D1DDB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305460"/>
    <w:pPr>
      <w:spacing w:after="0" w:line="240" w:lineRule="auto"/>
      <w:jc w:val="both"/>
    </w:pPr>
  </w:style>
  <w:style w:type="paragraph" w:styleId="Heading1">
    <w:name w:val="heading 1"/>
    <w:basedOn w:val="Normal"/>
    <w:next w:val="Normal"/>
    <w:link w:val="Heading1Char"/>
    <w:uiPriority w:val="9"/>
    <w:qFormat/>
    <w:rsid w:val="00970B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38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86C72"/>
    <w:rPr>
      <w:vertAlign w:val="superscript"/>
    </w:rPr>
  </w:style>
  <w:style w:type="paragraph" w:styleId="Header">
    <w:name w:val="header"/>
    <w:basedOn w:val="Normal"/>
    <w:link w:val="HeaderChar1"/>
    <w:uiPriority w:val="99"/>
    <w:unhideWhenUsed/>
    <w:rsid w:val="00986C72"/>
    <w:pPr>
      <w:tabs>
        <w:tab w:val="center" w:pos="4680"/>
        <w:tab w:val="right" w:pos="9360"/>
      </w:tabs>
    </w:pPr>
  </w:style>
  <w:style w:type="character" w:customStyle="1" w:styleId="HeaderChar">
    <w:name w:val="Header Char"/>
    <w:basedOn w:val="DefaultParagraphFont"/>
    <w:uiPriority w:val="99"/>
    <w:semiHidden/>
    <w:rsid w:val="00986C72"/>
  </w:style>
  <w:style w:type="character" w:customStyle="1" w:styleId="HeaderChar1">
    <w:name w:val="Header Char1"/>
    <w:basedOn w:val="DefaultParagraphFont"/>
    <w:link w:val="Header"/>
    <w:uiPriority w:val="99"/>
    <w:rsid w:val="00986C72"/>
  </w:style>
  <w:style w:type="paragraph" w:styleId="Footer">
    <w:name w:val="footer"/>
    <w:basedOn w:val="Normal"/>
    <w:link w:val="FooterChar1"/>
    <w:uiPriority w:val="99"/>
    <w:unhideWhenUsed/>
    <w:rsid w:val="00986C72"/>
    <w:pPr>
      <w:tabs>
        <w:tab w:val="center" w:pos="4680"/>
        <w:tab w:val="right" w:pos="9360"/>
      </w:tabs>
    </w:pPr>
  </w:style>
  <w:style w:type="character" w:customStyle="1" w:styleId="FooterChar">
    <w:name w:val="Footer Char"/>
    <w:basedOn w:val="DefaultParagraphFont"/>
    <w:uiPriority w:val="99"/>
    <w:semiHidden/>
    <w:rsid w:val="00986C72"/>
  </w:style>
  <w:style w:type="character" w:customStyle="1" w:styleId="FooterChar1">
    <w:name w:val="Footer Char1"/>
    <w:basedOn w:val="DefaultParagraphFont"/>
    <w:link w:val="Footer"/>
    <w:uiPriority w:val="99"/>
    <w:rsid w:val="00986C72"/>
  </w:style>
  <w:style w:type="character" w:styleId="Hyperlink">
    <w:name w:val="Hyperlink"/>
    <w:basedOn w:val="DefaultParagraphFont"/>
    <w:uiPriority w:val="99"/>
    <w:unhideWhenUsed/>
    <w:rsid w:val="00986C72"/>
    <w:rPr>
      <w:color w:val="0563C1" w:themeColor="hyperlink"/>
      <w:u w:val="single"/>
    </w:rPr>
  </w:style>
  <w:style w:type="paragraph" w:styleId="FootnoteText">
    <w:name w:val="footnote text"/>
    <w:basedOn w:val="Normal"/>
    <w:link w:val="FootnoteTextChar1"/>
    <w:uiPriority w:val="99"/>
    <w:unhideWhenUsed/>
    <w:rsid w:val="00986C72"/>
    <w:rPr>
      <w:sz w:val="20"/>
      <w:szCs w:val="20"/>
    </w:rPr>
  </w:style>
  <w:style w:type="character" w:customStyle="1" w:styleId="FootnoteTextChar">
    <w:name w:val="Footnote Text Char"/>
    <w:basedOn w:val="DefaultParagraphFont"/>
    <w:uiPriority w:val="99"/>
    <w:semiHidden/>
    <w:rsid w:val="00986C72"/>
    <w:rPr>
      <w:sz w:val="20"/>
      <w:szCs w:val="20"/>
    </w:rPr>
  </w:style>
  <w:style w:type="character" w:customStyle="1" w:styleId="FootnoteTextChar1">
    <w:name w:val="Footnote Text Char1"/>
    <w:basedOn w:val="DefaultParagraphFont"/>
    <w:link w:val="FootnoteText"/>
    <w:uiPriority w:val="99"/>
    <w:rsid w:val="00986C72"/>
    <w:rPr>
      <w:sz w:val="20"/>
      <w:szCs w:val="20"/>
    </w:rPr>
  </w:style>
  <w:style w:type="table" w:customStyle="1" w:styleId="TableGrid2">
    <w:name w:val="Table Grid2"/>
    <w:basedOn w:val="TableNormal"/>
    <w:next w:val="TableGrid"/>
    <w:uiPriority w:val="39"/>
    <w:rsid w:val="0098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8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0B1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70B13"/>
    <w:pPr>
      <w:spacing w:line="259" w:lineRule="auto"/>
      <w:jc w:val="left"/>
      <w:outlineLvl w:val="9"/>
    </w:pPr>
  </w:style>
  <w:style w:type="paragraph" w:styleId="TOC1">
    <w:name w:val="toc 1"/>
    <w:basedOn w:val="Normal"/>
    <w:next w:val="Normal"/>
    <w:autoRedefine/>
    <w:uiPriority w:val="39"/>
    <w:unhideWhenUsed/>
    <w:rsid w:val="00970B13"/>
    <w:pPr>
      <w:spacing w:after="100"/>
    </w:pPr>
  </w:style>
  <w:style w:type="paragraph" w:styleId="TOC2">
    <w:name w:val="toc 2"/>
    <w:basedOn w:val="Normal"/>
    <w:next w:val="Normal"/>
    <w:autoRedefine/>
    <w:uiPriority w:val="39"/>
    <w:unhideWhenUsed/>
    <w:rsid w:val="00970B13"/>
    <w:pPr>
      <w:spacing w:after="100"/>
      <w:ind w:left="220"/>
    </w:pPr>
  </w:style>
  <w:style w:type="paragraph" w:styleId="TOC3">
    <w:name w:val="toc 3"/>
    <w:basedOn w:val="Normal"/>
    <w:next w:val="Normal"/>
    <w:autoRedefine/>
    <w:uiPriority w:val="39"/>
    <w:unhideWhenUsed/>
    <w:rsid w:val="00970B13"/>
    <w:pPr>
      <w:spacing w:after="100"/>
      <w:ind w:left="440"/>
    </w:pPr>
  </w:style>
  <w:style w:type="paragraph" w:styleId="ListParagraph">
    <w:name w:val="List Paragraph"/>
    <w:basedOn w:val="Normal"/>
    <w:uiPriority w:val="34"/>
    <w:qFormat/>
    <w:rsid w:val="003210AE"/>
    <w:pPr>
      <w:ind w:left="720"/>
      <w:contextualSpacing/>
    </w:pPr>
  </w:style>
  <w:style w:type="character" w:styleId="CommentReference">
    <w:name w:val="annotation reference"/>
    <w:basedOn w:val="DefaultParagraphFont"/>
    <w:uiPriority w:val="99"/>
    <w:semiHidden/>
    <w:unhideWhenUsed/>
    <w:rsid w:val="00757E4D"/>
    <w:rPr>
      <w:sz w:val="16"/>
      <w:szCs w:val="16"/>
    </w:rPr>
  </w:style>
  <w:style w:type="paragraph" w:styleId="CommentText">
    <w:name w:val="annotation text"/>
    <w:basedOn w:val="Normal"/>
    <w:link w:val="CommentTextChar"/>
    <w:uiPriority w:val="99"/>
    <w:semiHidden/>
    <w:unhideWhenUsed/>
    <w:rsid w:val="00757E4D"/>
    <w:rPr>
      <w:sz w:val="20"/>
      <w:szCs w:val="20"/>
    </w:rPr>
  </w:style>
  <w:style w:type="character" w:customStyle="1" w:styleId="CommentTextChar">
    <w:name w:val="Comment Text Char"/>
    <w:basedOn w:val="DefaultParagraphFont"/>
    <w:link w:val="CommentText"/>
    <w:uiPriority w:val="99"/>
    <w:semiHidden/>
    <w:rsid w:val="00757E4D"/>
    <w:rPr>
      <w:sz w:val="20"/>
      <w:szCs w:val="20"/>
    </w:rPr>
  </w:style>
  <w:style w:type="paragraph" w:styleId="CommentSubject">
    <w:name w:val="annotation subject"/>
    <w:basedOn w:val="CommentText"/>
    <w:next w:val="CommentText"/>
    <w:link w:val="CommentSubjectChar"/>
    <w:uiPriority w:val="99"/>
    <w:semiHidden/>
    <w:unhideWhenUsed/>
    <w:rsid w:val="00757E4D"/>
    <w:rPr>
      <w:b/>
      <w:bCs/>
    </w:rPr>
  </w:style>
  <w:style w:type="character" w:customStyle="1" w:styleId="CommentSubjectChar">
    <w:name w:val="Comment Subject Char"/>
    <w:basedOn w:val="CommentTextChar"/>
    <w:link w:val="CommentSubject"/>
    <w:uiPriority w:val="99"/>
    <w:semiHidden/>
    <w:rsid w:val="00757E4D"/>
    <w:rPr>
      <w:b/>
      <w:bCs/>
      <w:sz w:val="20"/>
      <w:szCs w:val="20"/>
    </w:rPr>
  </w:style>
  <w:style w:type="paragraph" w:styleId="BalloonText">
    <w:name w:val="Balloon Text"/>
    <w:basedOn w:val="Normal"/>
    <w:link w:val="BalloonTextChar"/>
    <w:uiPriority w:val="99"/>
    <w:semiHidden/>
    <w:unhideWhenUsed/>
    <w:rsid w:val="00757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E4D"/>
    <w:rPr>
      <w:rFonts w:ascii="Segoe UI" w:hAnsi="Segoe UI" w:cs="Segoe UI"/>
      <w:sz w:val="18"/>
      <w:szCs w:val="18"/>
    </w:rPr>
  </w:style>
  <w:style w:type="paragraph" w:customStyle="1" w:styleId="Default">
    <w:name w:val="Default"/>
    <w:rsid w:val="00C603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E938D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4411A"/>
    <w:rPr>
      <w:color w:val="954F72" w:themeColor="followedHyperlink"/>
      <w:u w:val="single"/>
    </w:rPr>
  </w:style>
  <w:style w:type="paragraph" w:styleId="Revision">
    <w:name w:val="Revision"/>
    <w:hidden/>
    <w:uiPriority w:val="99"/>
    <w:semiHidden/>
    <w:rsid w:val="00BE6453"/>
    <w:pPr>
      <w:spacing w:after="0" w:line="240" w:lineRule="auto"/>
    </w:pPr>
  </w:style>
  <w:style w:type="character" w:styleId="UnresolvedMention">
    <w:name w:val="Unresolved Mention"/>
    <w:basedOn w:val="DefaultParagraphFont"/>
    <w:uiPriority w:val="99"/>
    <w:semiHidden/>
    <w:unhideWhenUsed/>
    <w:rsid w:val="00BE6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rldefense.proofpoint.com/v2/url?u=https-3A__amstar.ca_docs_Publication-2520-2D-2520Development-2520of-2520AMSTAR.pdf&amp;d=DwMFAg&amp;c=QSj8pw-Dfe-PLjj4Ds2WCg&amp;r=5oaanTdKzXuiG4Sw-9bRvZNIUuug3pCfily6C_qedzE&amp;m=EYXZdpTr3LUMkb_uywARBLsJQUXhBi16Xn-uuZk7TcY&amp;s=AKSRoexcnEZY0P6_4_ckzHm8R0DPluSwSI3r15O0ZLk&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B066-75AD-4AF6-9EBF-A2874F57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3620</Words>
  <Characters>21725</Characters>
  <Application>Microsoft Office Word</Application>
  <DocSecurity>0</DocSecurity>
  <Lines>443</Lines>
  <Paragraphs>166</Paragraphs>
  <ScaleCrop>false</ScaleCrop>
  <HeadingPairs>
    <vt:vector size="2" baseType="variant">
      <vt:variant>
        <vt:lpstr>Title</vt:lpstr>
      </vt:variant>
      <vt:variant>
        <vt:i4>1</vt:i4>
      </vt:variant>
    </vt:vector>
  </HeadingPairs>
  <TitlesOfParts>
    <vt:vector size="1" baseType="lpstr">
      <vt:lpstr/>
    </vt:vector>
  </TitlesOfParts>
  <Company>Cardno</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Freid</dc:creator>
  <cp:keywords/>
  <dc:description/>
  <cp:lastModifiedBy>Lauer, Daniel</cp:lastModifiedBy>
  <cp:revision>7</cp:revision>
  <dcterms:created xsi:type="dcterms:W3CDTF">2023-05-26T22:21:00Z</dcterms:created>
  <dcterms:modified xsi:type="dcterms:W3CDTF">2023-05-30T20:04:00Z</dcterms:modified>
</cp:coreProperties>
</file>