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39D1" w14:textId="4B010625" w:rsidR="00877B20" w:rsidRPr="00CB5667" w:rsidRDefault="004F1D58">
      <w:pPr>
        <w:rPr>
          <w:b/>
          <w:bCs/>
          <w:lang w:val="en-US"/>
        </w:rPr>
      </w:pPr>
      <w:r w:rsidRPr="00CB5667">
        <w:rPr>
          <w:b/>
          <w:bCs/>
          <w:lang w:val="en-US"/>
        </w:rPr>
        <w:t>Supplementary Materials</w:t>
      </w:r>
    </w:p>
    <w:p w14:paraId="0155A5DE" w14:textId="4DC8E2C1" w:rsidR="00CB5667" w:rsidRPr="00CB5667" w:rsidRDefault="00CB5667">
      <w:pPr>
        <w:rPr>
          <w:lang w:val="en-US"/>
        </w:rPr>
      </w:pPr>
    </w:p>
    <w:p w14:paraId="2E2F19C2" w14:textId="5487B6F0" w:rsidR="00CB5667" w:rsidRDefault="00CB5667" w:rsidP="00CB5667">
      <w:pPr>
        <w:rPr>
          <w:lang w:val="en-US"/>
        </w:rPr>
      </w:pPr>
      <w:r w:rsidRPr="00CB5667">
        <w:rPr>
          <w:lang w:val="en-US"/>
        </w:rPr>
        <w:t>Supplementary Table 1: Search strategy and number of hits per database (current to 3</w:t>
      </w:r>
      <w:r>
        <w:rPr>
          <w:lang w:val="en-US"/>
        </w:rPr>
        <w:t>0</w:t>
      </w:r>
      <w:r>
        <w:rPr>
          <w:vertAlign w:val="superscript"/>
          <w:lang w:val="en-US"/>
        </w:rPr>
        <w:t>th</w:t>
      </w:r>
      <w:r w:rsidRPr="00CB5667">
        <w:rPr>
          <w:lang w:val="en-US"/>
        </w:rPr>
        <w:t xml:space="preserve"> </w:t>
      </w:r>
      <w:r w:rsidR="00063EED">
        <w:rPr>
          <w:lang w:val="en-US"/>
        </w:rPr>
        <w:t>May</w:t>
      </w:r>
      <w:r w:rsidRPr="00CB5667">
        <w:rPr>
          <w:lang w:val="en-US"/>
        </w:rPr>
        <w:t xml:space="preserve"> 202</w:t>
      </w:r>
      <w:r>
        <w:rPr>
          <w:lang w:val="en-US"/>
        </w:rPr>
        <w:t>2</w:t>
      </w:r>
      <w:r w:rsidRPr="00CB5667">
        <w:rPr>
          <w:lang w:val="en-US"/>
        </w:rPr>
        <w:t>).</w:t>
      </w:r>
    </w:p>
    <w:p w14:paraId="301456EE" w14:textId="025FE19E" w:rsidR="00CB5667" w:rsidRDefault="00CB5667" w:rsidP="00CB5667">
      <w:pPr>
        <w:rPr>
          <w:lang w:val="en-US"/>
        </w:rPr>
      </w:pPr>
    </w:p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6225"/>
        <w:gridCol w:w="1378"/>
      </w:tblGrid>
      <w:tr w:rsidR="00CB5667" w:rsidRPr="004D213F" w14:paraId="723A18C8" w14:textId="77777777" w:rsidTr="0069662C">
        <w:tc>
          <w:tcPr>
            <w:tcW w:w="806" w:type="pct"/>
          </w:tcPr>
          <w:p w14:paraId="64DB9719" w14:textId="77777777" w:rsidR="00CB5667" w:rsidRPr="004D213F" w:rsidRDefault="00CB5667" w:rsidP="0069662C">
            <w:pPr>
              <w:jc w:val="center"/>
              <w:rPr>
                <w:b/>
                <w:bCs/>
                <w:lang w:val="en-US"/>
              </w:rPr>
            </w:pPr>
            <w:r w:rsidRPr="004D213F">
              <w:rPr>
                <w:b/>
                <w:bCs/>
                <w:lang w:val="en-US"/>
              </w:rPr>
              <w:t>Database</w:t>
            </w:r>
          </w:p>
        </w:tc>
        <w:tc>
          <w:tcPr>
            <w:tcW w:w="3434" w:type="pct"/>
          </w:tcPr>
          <w:p w14:paraId="57407B0A" w14:textId="77777777" w:rsidR="00CB5667" w:rsidRPr="004D213F" w:rsidRDefault="00CB5667" w:rsidP="0069662C">
            <w:pPr>
              <w:jc w:val="center"/>
              <w:rPr>
                <w:b/>
                <w:bCs/>
                <w:lang w:val="en-US"/>
              </w:rPr>
            </w:pPr>
            <w:r w:rsidRPr="004D213F">
              <w:rPr>
                <w:b/>
                <w:bCs/>
                <w:lang w:val="en-US"/>
              </w:rPr>
              <w:t>String</w:t>
            </w:r>
          </w:p>
        </w:tc>
        <w:tc>
          <w:tcPr>
            <w:tcW w:w="760" w:type="pct"/>
          </w:tcPr>
          <w:p w14:paraId="5FBD0A1E" w14:textId="77777777" w:rsidR="00CB5667" w:rsidRPr="004D213F" w:rsidRDefault="00CB5667" w:rsidP="0069662C">
            <w:pPr>
              <w:jc w:val="center"/>
              <w:rPr>
                <w:b/>
                <w:bCs/>
                <w:lang w:val="en-US"/>
              </w:rPr>
            </w:pPr>
            <w:r w:rsidRPr="004D213F">
              <w:rPr>
                <w:b/>
                <w:bCs/>
                <w:lang w:val="en-US"/>
              </w:rPr>
              <w:t>Number of records</w:t>
            </w:r>
          </w:p>
        </w:tc>
      </w:tr>
      <w:tr w:rsidR="00CB5667" w:rsidRPr="004D213F" w14:paraId="73E3D2DB" w14:textId="77777777" w:rsidTr="0069662C">
        <w:tc>
          <w:tcPr>
            <w:tcW w:w="806" w:type="pct"/>
          </w:tcPr>
          <w:p w14:paraId="39D5A279" w14:textId="77777777" w:rsidR="00CB5667" w:rsidRPr="004D213F" w:rsidRDefault="00CB5667" w:rsidP="0069662C">
            <w:pPr>
              <w:jc w:val="center"/>
              <w:rPr>
                <w:lang w:val="en-US"/>
              </w:rPr>
            </w:pPr>
            <w:r w:rsidRPr="004D213F">
              <w:rPr>
                <w:lang w:val="en-US"/>
              </w:rPr>
              <w:t>PubMed (Medline)</w:t>
            </w:r>
          </w:p>
        </w:tc>
        <w:tc>
          <w:tcPr>
            <w:tcW w:w="3434" w:type="pct"/>
          </w:tcPr>
          <w:p w14:paraId="53C6D280" w14:textId="6173E052" w:rsidR="00CB5667" w:rsidRPr="004D213F" w:rsidRDefault="00340338" w:rsidP="0069662C">
            <w:pPr>
              <w:rPr>
                <w:lang w:val="en-US"/>
              </w:rPr>
            </w:pPr>
            <w:r w:rsidRPr="00CB68B1">
              <w:rPr>
                <w:lang w:val="en-US"/>
              </w:rPr>
              <w:t>((("Psychiatry"[Mesh]) OR ("Mental Health"[Mesh])) OR ("Mental Disorders"[Mesh])) AND ((long covid[MeSH Terms]) OR ("post-acute COVID-19 syndrome" [Supplementary Concept]))</w:t>
            </w:r>
          </w:p>
        </w:tc>
        <w:tc>
          <w:tcPr>
            <w:tcW w:w="760" w:type="pct"/>
          </w:tcPr>
          <w:p w14:paraId="0D864A7A" w14:textId="4F6FFB41" w:rsidR="00CB5667" w:rsidRPr="004D213F" w:rsidRDefault="00CB5667" w:rsidP="006966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340338">
              <w:rPr>
                <w:lang w:val="en-US"/>
              </w:rPr>
              <w:t>03</w:t>
            </w:r>
          </w:p>
        </w:tc>
      </w:tr>
      <w:tr w:rsidR="00CB5667" w:rsidRPr="004D213F" w14:paraId="635EA25F" w14:textId="77777777" w:rsidTr="0069662C">
        <w:tc>
          <w:tcPr>
            <w:tcW w:w="806" w:type="pct"/>
            <w:tcBorders>
              <w:bottom w:val="single" w:sz="4" w:space="0" w:color="000000"/>
            </w:tcBorders>
          </w:tcPr>
          <w:p w14:paraId="061CFFAB" w14:textId="77777777" w:rsidR="00CB5667" w:rsidRPr="004D213F" w:rsidRDefault="00CB5667" w:rsidP="0069662C">
            <w:pPr>
              <w:jc w:val="center"/>
              <w:rPr>
                <w:lang w:val="en-US"/>
              </w:rPr>
            </w:pPr>
            <w:r w:rsidRPr="004D213F">
              <w:rPr>
                <w:lang w:val="en-US"/>
              </w:rPr>
              <w:t>Scopus</w:t>
            </w:r>
          </w:p>
        </w:tc>
        <w:tc>
          <w:tcPr>
            <w:tcW w:w="3434" w:type="pct"/>
            <w:tcBorders>
              <w:bottom w:val="single" w:sz="4" w:space="0" w:color="000000"/>
            </w:tcBorders>
          </w:tcPr>
          <w:p w14:paraId="2188EA03" w14:textId="1D4B7E11" w:rsidR="00CB5667" w:rsidRPr="004D213F" w:rsidRDefault="00340338" w:rsidP="0069662C">
            <w:pPr>
              <w:rPr>
                <w:lang w:val="en-US"/>
              </w:rPr>
            </w:pPr>
            <w:r w:rsidRPr="00F87774">
              <w:rPr>
                <w:lang w:val="en-US"/>
              </w:rPr>
              <w:t>( ( TITLE-ABS-KEY ( mental  AND disorder )  OR  TITLE-ABS-KEY ( mental  AND health )  OR  TITLE-ABS-KEY ( psychiatry ) ) )  AND  ( TITLE-ABS-KEY ( long  AND covid ) )</w:t>
            </w:r>
          </w:p>
        </w:tc>
        <w:tc>
          <w:tcPr>
            <w:tcW w:w="760" w:type="pct"/>
            <w:tcBorders>
              <w:bottom w:val="single" w:sz="4" w:space="0" w:color="000000"/>
            </w:tcBorders>
          </w:tcPr>
          <w:p w14:paraId="1C8632FC" w14:textId="44CD0CFA" w:rsidR="00CB5667" w:rsidRPr="004D213F" w:rsidRDefault="00340338" w:rsidP="006966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1704</w:t>
            </w:r>
          </w:p>
        </w:tc>
      </w:tr>
      <w:tr w:rsidR="00CB5667" w:rsidRPr="004D213F" w14:paraId="7E6E533C" w14:textId="77777777" w:rsidTr="0069662C">
        <w:trPr>
          <w:trHeight w:val="307"/>
        </w:trPr>
        <w:tc>
          <w:tcPr>
            <w:tcW w:w="806" w:type="pct"/>
            <w:tcBorders>
              <w:top w:val="single" w:sz="4" w:space="0" w:color="000000"/>
            </w:tcBorders>
          </w:tcPr>
          <w:p w14:paraId="4087F286" w14:textId="77777777" w:rsidR="00CB5667" w:rsidRPr="004D213F" w:rsidRDefault="00CB5667" w:rsidP="0069662C">
            <w:pPr>
              <w:jc w:val="center"/>
              <w:rPr>
                <w:lang w:val="en-US"/>
              </w:rPr>
            </w:pPr>
            <w:r w:rsidRPr="004D213F">
              <w:rPr>
                <w:lang w:val="en-US"/>
              </w:rPr>
              <w:t>EMBASE</w:t>
            </w:r>
          </w:p>
        </w:tc>
        <w:tc>
          <w:tcPr>
            <w:tcW w:w="3434" w:type="pct"/>
            <w:tcBorders>
              <w:top w:val="single" w:sz="4" w:space="0" w:color="000000"/>
              <w:bottom w:val="single" w:sz="4" w:space="0" w:color="000000"/>
            </w:tcBorders>
          </w:tcPr>
          <w:p w14:paraId="3A6FDA9E" w14:textId="266222E9" w:rsidR="00CB5667" w:rsidRPr="004D213F" w:rsidRDefault="00340338" w:rsidP="0069662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07C20">
              <w:rPr>
                <w:lang w:val="en-US"/>
              </w:rPr>
              <w:t>'mental health'/exp OR 'mental health' OR 'mental disease'/exp OR 'mental disease' OR 'psychiatry'/exp OR psychiatry</w:t>
            </w:r>
            <w:r>
              <w:rPr>
                <w:lang w:val="en-US"/>
              </w:rPr>
              <w:t>) AND (</w:t>
            </w:r>
            <w:r w:rsidRPr="00907C20">
              <w:rPr>
                <w:lang w:val="en-US"/>
              </w:rPr>
              <w:t>'long covid'/exp OR 'long covid'</w:t>
            </w:r>
            <w:r>
              <w:rPr>
                <w:lang w:val="en-US"/>
              </w:rPr>
              <w:t>)</w:t>
            </w:r>
          </w:p>
        </w:tc>
        <w:tc>
          <w:tcPr>
            <w:tcW w:w="760" w:type="pct"/>
            <w:tcBorders>
              <w:top w:val="single" w:sz="4" w:space="0" w:color="000000"/>
              <w:bottom w:val="single" w:sz="4" w:space="0" w:color="000000"/>
            </w:tcBorders>
          </w:tcPr>
          <w:p w14:paraId="7022B45D" w14:textId="2F9F60D0" w:rsidR="00CB5667" w:rsidRPr="004D213F" w:rsidRDefault="00340338" w:rsidP="0069662C">
            <w:pPr>
              <w:jc w:val="center"/>
            </w:pPr>
            <w:r>
              <w:rPr>
                <w:lang w:val="en-US"/>
              </w:rPr>
              <w:t>254</w:t>
            </w:r>
          </w:p>
        </w:tc>
      </w:tr>
      <w:tr w:rsidR="00340338" w:rsidRPr="00340338" w14:paraId="24FAF3FF" w14:textId="77777777" w:rsidTr="0069662C">
        <w:trPr>
          <w:trHeight w:val="307"/>
        </w:trPr>
        <w:tc>
          <w:tcPr>
            <w:tcW w:w="806" w:type="pct"/>
            <w:tcBorders>
              <w:top w:val="single" w:sz="4" w:space="0" w:color="000000"/>
            </w:tcBorders>
          </w:tcPr>
          <w:p w14:paraId="4D7FF998" w14:textId="119A024D" w:rsidR="00340338" w:rsidRPr="004D213F" w:rsidRDefault="00340338" w:rsidP="006966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CINAHL</w:t>
            </w:r>
          </w:p>
        </w:tc>
        <w:tc>
          <w:tcPr>
            <w:tcW w:w="3434" w:type="pct"/>
            <w:tcBorders>
              <w:top w:val="single" w:sz="4" w:space="0" w:color="000000"/>
              <w:bottom w:val="single" w:sz="4" w:space="0" w:color="000000"/>
            </w:tcBorders>
          </w:tcPr>
          <w:p w14:paraId="419711B6" w14:textId="4A6F3622" w:rsidR="00340338" w:rsidRDefault="00340338" w:rsidP="0069662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543872">
              <w:rPr>
                <w:lang w:val="en-US"/>
              </w:rPr>
              <w:t>long covid or chronic covid-19 or post covid or long haul covid</w:t>
            </w:r>
            <w:r>
              <w:rPr>
                <w:lang w:val="en-US"/>
              </w:rPr>
              <w:t>) AND (</w:t>
            </w:r>
            <w:r w:rsidRPr="00543872">
              <w:rPr>
                <w:lang w:val="en-US"/>
              </w:rPr>
              <w:t>( mental health or mental illness or mental disorder or psychiatric illness ) OR psychiatry</w:t>
            </w:r>
            <w:r>
              <w:rPr>
                <w:lang w:val="en-US"/>
              </w:rPr>
              <w:t>)</w:t>
            </w:r>
          </w:p>
        </w:tc>
        <w:tc>
          <w:tcPr>
            <w:tcW w:w="760" w:type="pct"/>
            <w:tcBorders>
              <w:top w:val="single" w:sz="4" w:space="0" w:color="000000"/>
              <w:bottom w:val="single" w:sz="4" w:space="0" w:color="000000"/>
            </w:tcBorders>
          </w:tcPr>
          <w:p w14:paraId="5B8F569F" w14:textId="6171E5DB" w:rsidR="00340338" w:rsidRDefault="00340338" w:rsidP="006966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</w:tr>
      <w:tr w:rsidR="00CB5667" w:rsidRPr="004D213F" w14:paraId="219BFBA7" w14:textId="77777777" w:rsidTr="0069662C">
        <w:tc>
          <w:tcPr>
            <w:tcW w:w="806" w:type="pct"/>
          </w:tcPr>
          <w:p w14:paraId="697C23F3" w14:textId="77777777" w:rsidR="00CB5667" w:rsidRPr="004D213F" w:rsidRDefault="00CB5667" w:rsidP="0069662C">
            <w:pPr>
              <w:jc w:val="center"/>
              <w:rPr>
                <w:lang w:val="en-US"/>
              </w:rPr>
            </w:pPr>
            <w:r w:rsidRPr="004D213F">
              <w:rPr>
                <w:lang w:val="en-US"/>
              </w:rPr>
              <w:t>PsycINFO</w:t>
            </w:r>
          </w:p>
        </w:tc>
        <w:tc>
          <w:tcPr>
            <w:tcW w:w="3434" w:type="pct"/>
          </w:tcPr>
          <w:p w14:paraId="5A7C048E" w14:textId="04E1DB30" w:rsidR="00CB5667" w:rsidRPr="004D213F" w:rsidRDefault="00340338" w:rsidP="0069662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DC70C3">
              <w:rPr>
                <w:lang w:val="en-US"/>
              </w:rPr>
              <w:t>(mental health or mental illness or mental disorder or psychiatric illness ) OR psychiatry</w:t>
            </w:r>
            <w:r>
              <w:rPr>
                <w:lang w:val="en-US"/>
              </w:rPr>
              <w:t>) AND (</w:t>
            </w:r>
            <w:r w:rsidRPr="00DC70C3">
              <w:rPr>
                <w:lang w:val="en-US"/>
              </w:rPr>
              <w:t>long covid or chronic covid-19 or post covid or long haul covid</w:t>
            </w:r>
            <w:r>
              <w:rPr>
                <w:lang w:val="en-US"/>
              </w:rPr>
              <w:t>)</w:t>
            </w:r>
          </w:p>
        </w:tc>
        <w:tc>
          <w:tcPr>
            <w:tcW w:w="760" w:type="pct"/>
          </w:tcPr>
          <w:p w14:paraId="62C7AF46" w14:textId="73ABAE4F" w:rsidR="00CB5667" w:rsidRPr="004D213F" w:rsidRDefault="00340338" w:rsidP="006966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</w:tr>
    </w:tbl>
    <w:p w14:paraId="2EAFED4B" w14:textId="55A69328" w:rsidR="00CB5667" w:rsidRDefault="00CB5667">
      <w:pPr>
        <w:rPr>
          <w:b/>
          <w:bCs/>
          <w:lang w:val="en-US"/>
        </w:rPr>
      </w:pPr>
    </w:p>
    <w:p w14:paraId="72684570" w14:textId="111FDCCD" w:rsidR="004D117A" w:rsidRDefault="004D117A">
      <w:pPr>
        <w:rPr>
          <w:lang w:val="en-US"/>
        </w:rPr>
      </w:pPr>
    </w:p>
    <w:p w14:paraId="01EA3E18" w14:textId="54F38436" w:rsidR="00616908" w:rsidRDefault="000360E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A4E9B68" wp14:editId="15E5AAE7">
            <wp:extent cx="5724000" cy="1352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" t="41448" r="2434" b="41609"/>
                    <a:stretch/>
                  </pic:blipFill>
                  <pic:spPr bwMode="auto">
                    <a:xfrm>
                      <a:off x="0" y="0"/>
                      <a:ext cx="5724000" cy="1352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5A96B" w14:textId="7A672F00" w:rsidR="00616908" w:rsidRDefault="00616908">
      <w:pPr>
        <w:rPr>
          <w:lang w:val="en-US"/>
        </w:rPr>
      </w:pPr>
      <w:r w:rsidRPr="00616908">
        <w:rPr>
          <w:lang w:val="en-US"/>
        </w:rPr>
        <w:t xml:space="preserve">Supplementary Figure </w:t>
      </w:r>
      <w:r w:rsidR="000360E6">
        <w:rPr>
          <w:lang w:val="en-US"/>
        </w:rPr>
        <w:t>2</w:t>
      </w:r>
      <w:r>
        <w:rPr>
          <w:lang w:val="en-US"/>
        </w:rPr>
        <w:t>:</w:t>
      </w:r>
      <w:r w:rsidRPr="00616908">
        <w:rPr>
          <w:lang w:val="en-US"/>
        </w:rPr>
        <w:t xml:space="preserve"> Risk of bias graph: review authors' judgements about each risk of bias item presented as percentages across all included studies</w:t>
      </w:r>
      <w:r w:rsidR="00AD20CD">
        <w:rPr>
          <w:lang w:val="en-US"/>
        </w:rPr>
        <w:t>.</w:t>
      </w:r>
    </w:p>
    <w:p w14:paraId="2ACA9B9B" w14:textId="1D23EC0D" w:rsidR="00AD20CD" w:rsidRDefault="00AD20CD">
      <w:pPr>
        <w:rPr>
          <w:lang w:val="en-US"/>
        </w:rPr>
      </w:pPr>
    </w:p>
    <w:p w14:paraId="06237FCD" w14:textId="30CEB0BB" w:rsidR="000360E6" w:rsidRDefault="000360E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45EBEB1" wp14:editId="36DF502E">
            <wp:extent cx="5755401" cy="738464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4" b="1823"/>
                    <a:stretch/>
                  </pic:blipFill>
                  <pic:spPr bwMode="auto">
                    <a:xfrm>
                      <a:off x="0" y="0"/>
                      <a:ext cx="5755640" cy="738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0228D" w14:textId="33E3E1E7" w:rsidR="00AD20CD" w:rsidRDefault="00AD20CD">
      <w:pPr>
        <w:rPr>
          <w:lang w:val="en-US"/>
        </w:rPr>
      </w:pPr>
      <w:r w:rsidRPr="00AD20CD">
        <w:rPr>
          <w:lang w:val="en-US"/>
        </w:rPr>
        <w:t xml:space="preserve">Supplementary Figure </w:t>
      </w:r>
      <w:r w:rsidR="000360E6">
        <w:rPr>
          <w:lang w:val="en-US"/>
        </w:rPr>
        <w:t>3</w:t>
      </w:r>
      <w:r>
        <w:rPr>
          <w:lang w:val="en-US"/>
        </w:rPr>
        <w:t>:</w:t>
      </w:r>
      <w:r w:rsidRPr="00AD20CD">
        <w:rPr>
          <w:lang w:val="en-US"/>
        </w:rPr>
        <w:t xml:space="preserve"> Risk of bias summary: review authors' judgements about each risk of bias item for each included study.</w:t>
      </w:r>
    </w:p>
    <w:p w14:paraId="6511E507" w14:textId="77777777" w:rsidR="007C3D92" w:rsidRDefault="007C3D92">
      <w:pPr>
        <w:rPr>
          <w:lang w:val="en-US"/>
        </w:rPr>
        <w:sectPr w:rsidR="007C3D92" w:rsidSect="00913BCA">
          <w:footerReference w:type="even" r:id="rId8"/>
          <w:footerReference w:type="default" r:id="rId9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6F4855F6" w14:textId="12549CF6" w:rsidR="007C3D92" w:rsidRDefault="007C3D92">
      <w:pPr>
        <w:rPr>
          <w:lang w:val="en-US"/>
        </w:rPr>
      </w:pPr>
      <w:r w:rsidRPr="007C3D92">
        <w:rPr>
          <w:lang w:val="en-US"/>
        </w:rPr>
        <w:lastRenderedPageBreak/>
        <w:t xml:space="preserve">Supplementary Table </w:t>
      </w:r>
      <w:r w:rsidR="00F07B5B">
        <w:rPr>
          <w:lang w:val="en-US"/>
        </w:rPr>
        <w:t>2</w:t>
      </w:r>
      <w:r w:rsidRPr="007C3D92">
        <w:rPr>
          <w:lang w:val="en-US"/>
        </w:rPr>
        <w:t>: GRADE evidence summary for each outcome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771"/>
        <w:gridCol w:w="1117"/>
        <w:gridCol w:w="1257"/>
        <w:gridCol w:w="1156"/>
        <w:gridCol w:w="1801"/>
        <w:gridCol w:w="1516"/>
        <w:gridCol w:w="1111"/>
        <w:gridCol w:w="811"/>
        <w:gridCol w:w="1161"/>
      </w:tblGrid>
      <w:tr w:rsidR="00B6786F" w:rsidRPr="00444CFA" w14:paraId="1E59F90B" w14:textId="77777777" w:rsidTr="00B6786F">
        <w:tc>
          <w:tcPr>
            <w:tcW w:w="0" w:type="auto"/>
            <w:gridSpan w:val="6"/>
            <w:shd w:val="clear" w:color="auto" w:fill="auto"/>
          </w:tcPr>
          <w:p w14:paraId="655C08C1" w14:textId="77777777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44CFA">
              <w:rPr>
                <w:b/>
                <w:bCs/>
                <w:sz w:val="18"/>
                <w:szCs w:val="18"/>
                <w:lang w:val="en-US"/>
              </w:rPr>
              <w:t>Certainty assessment</w:t>
            </w:r>
          </w:p>
        </w:tc>
        <w:tc>
          <w:tcPr>
            <w:tcW w:w="0" w:type="auto"/>
            <w:shd w:val="clear" w:color="auto" w:fill="auto"/>
          </w:tcPr>
          <w:p w14:paraId="16C8B273" w14:textId="5EB37EAB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44CFA">
              <w:rPr>
                <w:b/>
                <w:bCs/>
                <w:sz w:val="18"/>
                <w:szCs w:val="18"/>
                <w:lang w:val="en-US"/>
              </w:rPr>
              <w:t xml:space="preserve">N of </w:t>
            </w:r>
            <w:r>
              <w:rPr>
                <w:b/>
                <w:bCs/>
                <w:sz w:val="18"/>
                <w:szCs w:val="18"/>
                <w:lang w:val="en-US"/>
              </w:rPr>
              <w:t>participants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9FF6F4A" w14:textId="12CCE22C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44CFA">
              <w:rPr>
                <w:b/>
                <w:bCs/>
                <w:sz w:val="18"/>
                <w:szCs w:val="18"/>
                <w:lang w:val="en-US"/>
              </w:rPr>
              <w:t>Effect</w:t>
            </w:r>
          </w:p>
        </w:tc>
        <w:tc>
          <w:tcPr>
            <w:tcW w:w="0" w:type="auto"/>
            <w:shd w:val="clear" w:color="auto" w:fill="auto"/>
          </w:tcPr>
          <w:p w14:paraId="475F16E4" w14:textId="5F53B97A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44CFA">
              <w:rPr>
                <w:b/>
                <w:bCs/>
                <w:sz w:val="18"/>
                <w:szCs w:val="18"/>
                <w:lang w:val="en-US"/>
              </w:rPr>
              <w:t>Certainty</w:t>
            </w:r>
          </w:p>
        </w:tc>
      </w:tr>
      <w:tr w:rsidR="00B6786F" w:rsidRPr="00444CFA" w14:paraId="5D66C79D" w14:textId="77777777" w:rsidTr="00B6786F">
        <w:tc>
          <w:tcPr>
            <w:tcW w:w="0" w:type="auto"/>
            <w:shd w:val="clear" w:color="auto" w:fill="auto"/>
          </w:tcPr>
          <w:p w14:paraId="7CB3DE47" w14:textId="777BB14E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44CFA">
              <w:rPr>
                <w:b/>
                <w:bCs/>
                <w:sz w:val="18"/>
                <w:szCs w:val="18"/>
                <w:lang w:val="en-US"/>
              </w:rPr>
              <w:t>N of studies</w:t>
            </w:r>
          </w:p>
        </w:tc>
        <w:tc>
          <w:tcPr>
            <w:tcW w:w="0" w:type="auto"/>
            <w:shd w:val="clear" w:color="auto" w:fill="auto"/>
          </w:tcPr>
          <w:p w14:paraId="1B634E58" w14:textId="77777777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44CFA">
              <w:rPr>
                <w:b/>
                <w:bCs/>
                <w:sz w:val="18"/>
                <w:szCs w:val="18"/>
                <w:lang w:val="en-US"/>
              </w:rPr>
              <w:t>Study design</w:t>
            </w:r>
          </w:p>
        </w:tc>
        <w:tc>
          <w:tcPr>
            <w:tcW w:w="0" w:type="auto"/>
            <w:shd w:val="clear" w:color="auto" w:fill="auto"/>
          </w:tcPr>
          <w:p w14:paraId="4BC145E2" w14:textId="77777777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44CFA">
              <w:rPr>
                <w:b/>
                <w:bCs/>
                <w:sz w:val="18"/>
                <w:szCs w:val="18"/>
                <w:lang w:val="en-US"/>
              </w:rPr>
              <w:t>Risk of bias</w:t>
            </w:r>
          </w:p>
        </w:tc>
        <w:tc>
          <w:tcPr>
            <w:tcW w:w="0" w:type="auto"/>
            <w:shd w:val="clear" w:color="auto" w:fill="auto"/>
          </w:tcPr>
          <w:p w14:paraId="50A2C69E" w14:textId="77777777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44CFA">
              <w:rPr>
                <w:b/>
                <w:bCs/>
                <w:sz w:val="18"/>
                <w:szCs w:val="18"/>
                <w:lang w:val="en-US"/>
              </w:rPr>
              <w:t>Inconsistency</w:t>
            </w:r>
          </w:p>
        </w:tc>
        <w:tc>
          <w:tcPr>
            <w:tcW w:w="0" w:type="auto"/>
            <w:shd w:val="clear" w:color="auto" w:fill="auto"/>
          </w:tcPr>
          <w:p w14:paraId="0FAA7B3C" w14:textId="77777777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44CFA">
              <w:rPr>
                <w:b/>
                <w:bCs/>
                <w:sz w:val="18"/>
                <w:szCs w:val="18"/>
                <w:lang w:val="en-US"/>
              </w:rPr>
              <w:t>Indirectness</w:t>
            </w:r>
          </w:p>
        </w:tc>
        <w:tc>
          <w:tcPr>
            <w:tcW w:w="0" w:type="auto"/>
            <w:shd w:val="clear" w:color="auto" w:fill="auto"/>
          </w:tcPr>
          <w:p w14:paraId="1ABCBA06" w14:textId="70E0365D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Outcome</w:t>
            </w:r>
          </w:p>
        </w:tc>
        <w:tc>
          <w:tcPr>
            <w:tcW w:w="0" w:type="auto"/>
            <w:shd w:val="clear" w:color="auto" w:fill="auto"/>
          </w:tcPr>
          <w:p w14:paraId="100CDE06" w14:textId="7074000C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LC</w:t>
            </w:r>
          </w:p>
        </w:tc>
        <w:tc>
          <w:tcPr>
            <w:tcW w:w="0" w:type="auto"/>
            <w:shd w:val="clear" w:color="auto" w:fill="auto"/>
          </w:tcPr>
          <w:p w14:paraId="58AE32FE" w14:textId="4FEF79C0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Weighted P</w:t>
            </w:r>
          </w:p>
        </w:tc>
        <w:tc>
          <w:tcPr>
            <w:tcW w:w="0" w:type="auto"/>
          </w:tcPr>
          <w:p w14:paraId="5BD171DB" w14:textId="0BC12801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Mean P</w:t>
            </w:r>
          </w:p>
        </w:tc>
        <w:tc>
          <w:tcPr>
            <w:tcW w:w="0" w:type="auto"/>
            <w:shd w:val="clear" w:color="auto" w:fill="auto"/>
          </w:tcPr>
          <w:p w14:paraId="2DE71790" w14:textId="475D27EC" w:rsidR="00B6786F" w:rsidRPr="00444CFA" w:rsidRDefault="00B6786F" w:rsidP="006966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B6786F" w:rsidRPr="00444CFA" w14:paraId="2EE8E6FA" w14:textId="77777777" w:rsidTr="00B6786F">
        <w:tc>
          <w:tcPr>
            <w:tcW w:w="0" w:type="auto"/>
            <w:shd w:val="clear" w:color="auto" w:fill="auto"/>
          </w:tcPr>
          <w:p w14:paraId="1A24E58D" w14:textId="3A60E77C" w:rsidR="00B6786F" w:rsidRPr="00444CFA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14871630" w14:textId="77777777" w:rsidR="00B6786F" w:rsidRPr="00444CFA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Observational studies</w:t>
            </w:r>
          </w:p>
        </w:tc>
        <w:tc>
          <w:tcPr>
            <w:tcW w:w="0" w:type="auto"/>
            <w:shd w:val="clear" w:color="auto" w:fill="auto"/>
          </w:tcPr>
          <w:p w14:paraId="1D6AD940" w14:textId="304F32A2" w:rsidR="00B6786F" w:rsidRPr="00444CFA" w:rsidRDefault="007F313D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Serious</w:t>
            </w:r>
          </w:p>
        </w:tc>
        <w:tc>
          <w:tcPr>
            <w:tcW w:w="0" w:type="auto"/>
            <w:shd w:val="clear" w:color="auto" w:fill="auto"/>
          </w:tcPr>
          <w:p w14:paraId="271D2D5D" w14:textId="25E53129" w:rsidR="00B6786F" w:rsidRPr="00444CFA" w:rsidRDefault="007C7FC9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Not s</w:t>
            </w:r>
            <w:r w:rsidR="00B6786F" w:rsidRPr="00444CFA">
              <w:rPr>
                <w:sz w:val="18"/>
                <w:szCs w:val="18"/>
                <w:lang w:val="en-US"/>
              </w:rPr>
              <w:t>erious</w:t>
            </w:r>
          </w:p>
        </w:tc>
        <w:tc>
          <w:tcPr>
            <w:tcW w:w="0" w:type="auto"/>
            <w:shd w:val="clear" w:color="auto" w:fill="auto"/>
          </w:tcPr>
          <w:p w14:paraId="25621CB5" w14:textId="77777777" w:rsidR="00B6786F" w:rsidRPr="00444CFA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444CFA">
              <w:rPr>
                <w:sz w:val="18"/>
                <w:szCs w:val="18"/>
                <w:lang w:val="en-US"/>
              </w:rPr>
              <w:t>Not serious</w:t>
            </w:r>
          </w:p>
        </w:tc>
        <w:tc>
          <w:tcPr>
            <w:tcW w:w="0" w:type="auto"/>
            <w:shd w:val="clear" w:color="auto" w:fill="auto"/>
          </w:tcPr>
          <w:p w14:paraId="11172F24" w14:textId="24CD0963" w:rsidR="00B6786F" w:rsidRPr="00444CFA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Depression</w:t>
            </w:r>
          </w:p>
        </w:tc>
        <w:tc>
          <w:tcPr>
            <w:tcW w:w="0" w:type="auto"/>
            <w:shd w:val="clear" w:color="auto" w:fill="auto"/>
          </w:tcPr>
          <w:p w14:paraId="39BE7D2C" w14:textId="777C3A23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3D1D73">
              <w:rPr>
                <w:sz w:val="18"/>
                <w:szCs w:val="18"/>
                <w:lang w:val="en-US"/>
              </w:rPr>
              <w:t>5079</w:t>
            </w:r>
          </w:p>
        </w:tc>
        <w:tc>
          <w:tcPr>
            <w:tcW w:w="0" w:type="auto"/>
            <w:shd w:val="clear" w:color="auto" w:fill="auto"/>
          </w:tcPr>
          <w:p w14:paraId="10431DAC" w14:textId="2CFBED09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3D1D73">
              <w:rPr>
                <w:sz w:val="18"/>
                <w:szCs w:val="18"/>
                <w:lang w:val="en-US"/>
              </w:rPr>
              <w:t>0.212</w:t>
            </w:r>
          </w:p>
        </w:tc>
        <w:tc>
          <w:tcPr>
            <w:tcW w:w="0" w:type="auto"/>
          </w:tcPr>
          <w:p w14:paraId="4DCADAFD" w14:textId="08A8B6C8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0.254</w:t>
            </w:r>
          </w:p>
        </w:tc>
        <w:tc>
          <w:tcPr>
            <w:tcW w:w="0" w:type="auto"/>
            <w:shd w:val="clear" w:color="auto" w:fill="auto"/>
          </w:tcPr>
          <w:p w14:paraId="79D6079A" w14:textId="0C2AEB65" w:rsidR="00B6786F" w:rsidRPr="00444CFA" w:rsidRDefault="007F313D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+??</w:t>
            </w:r>
            <w:r w:rsidR="00B6786F">
              <w:rPr>
                <w:sz w:val="18"/>
                <w:szCs w:val="18"/>
                <w:lang w:val="en-US"/>
              </w:rPr>
              <w:t>?</w:t>
            </w:r>
          </w:p>
          <w:p w14:paraId="22EEA106" w14:textId="72B53236" w:rsidR="00B6786F" w:rsidRPr="00444CFA" w:rsidRDefault="007F313D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VERY LOW</w:t>
            </w:r>
          </w:p>
        </w:tc>
      </w:tr>
      <w:tr w:rsidR="00B6786F" w:rsidRPr="00444CFA" w14:paraId="519AAE2B" w14:textId="77777777" w:rsidTr="00B6786F">
        <w:tc>
          <w:tcPr>
            <w:tcW w:w="0" w:type="auto"/>
            <w:shd w:val="clear" w:color="auto" w:fill="auto"/>
          </w:tcPr>
          <w:p w14:paraId="6B2F60C3" w14:textId="59A52A1A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139FFE72" w14:textId="57C461B3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Observational studies</w:t>
            </w:r>
          </w:p>
        </w:tc>
        <w:tc>
          <w:tcPr>
            <w:tcW w:w="0" w:type="auto"/>
            <w:shd w:val="clear" w:color="auto" w:fill="auto"/>
          </w:tcPr>
          <w:p w14:paraId="7BF11A93" w14:textId="45FB192C" w:rsidR="00B6786F" w:rsidRPr="00444CFA" w:rsidRDefault="007F313D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Serious</w:t>
            </w:r>
          </w:p>
        </w:tc>
        <w:tc>
          <w:tcPr>
            <w:tcW w:w="0" w:type="auto"/>
            <w:shd w:val="clear" w:color="auto" w:fill="auto"/>
          </w:tcPr>
          <w:p w14:paraId="6B957E53" w14:textId="4F21FB9A" w:rsidR="00B6786F" w:rsidRDefault="007C7FC9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Serious</w:t>
            </w:r>
          </w:p>
        </w:tc>
        <w:tc>
          <w:tcPr>
            <w:tcW w:w="0" w:type="auto"/>
            <w:shd w:val="clear" w:color="auto" w:fill="auto"/>
          </w:tcPr>
          <w:p w14:paraId="611C18FB" w14:textId="5E378BB6" w:rsidR="00B6786F" w:rsidRPr="00444CFA" w:rsidRDefault="007C7FC9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444CFA">
              <w:rPr>
                <w:sz w:val="18"/>
                <w:szCs w:val="18"/>
                <w:lang w:val="en-US"/>
              </w:rPr>
              <w:t>Not serious</w:t>
            </w:r>
          </w:p>
        </w:tc>
        <w:tc>
          <w:tcPr>
            <w:tcW w:w="0" w:type="auto"/>
            <w:shd w:val="clear" w:color="auto" w:fill="auto"/>
          </w:tcPr>
          <w:p w14:paraId="0DF74581" w14:textId="26FB5000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Anxiety</w:t>
            </w:r>
          </w:p>
        </w:tc>
        <w:tc>
          <w:tcPr>
            <w:tcW w:w="0" w:type="auto"/>
            <w:shd w:val="clear" w:color="auto" w:fill="auto"/>
          </w:tcPr>
          <w:p w14:paraId="6232240D" w14:textId="2A4089B3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3D1D73">
              <w:rPr>
                <w:sz w:val="18"/>
                <w:szCs w:val="18"/>
                <w:lang w:val="en-US"/>
              </w:rPr>
              <w:t>28001</w:t>
            </w:r>
          </w:p>
        </w:tc>
        <w:tc>
          <w:tcPr>
            <w:tcW w:w="0" w:type="auto"/>
            <w:shd w:val="clear" w:color="auto" w:fill="auto"/>
          </w:tcPr>
          <w:p w14:paraId="389DFDC9" w14:textId="565547A1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0.158</w:t>
            </w:r>
          </w:p>
        </w:tc>
        <w:tc>
          <w:tcPr>
            <w:tcW w:w="0" w:type="auto"/>
          </w:tcPr>
          <w:p w14:paraId="201DD38D" w14:textId="052E8559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0.313</w:t>
            </w:r>
          </w:p>
        </w:tc>
        <w:tc>
          <w:tcPr>
            <w:tcW w:w="0" w:type="auto"/>
            <w:shd w:val="clear" w:color="auto" w:fill="auto"/>
          </w:tcPr>
          <w:p w14:paraId="2D930815" w14:textId="1AFF9716" w:rsidR="00263188" w:rsidRPr="00444CFA" w:rsidRDefault="007F313D" w:rsidP="002631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???</w:t>
            </w:r>
            <w:r w:rsidR="00263188">
              <w:rPr>
                <w:sz w:val="18"/>
                <w:szCs w:val="18"/>
                <w:lang w:val="en-US"/>
              </w:rPr>
              <w:t>?</w:t>
            </w:r>
          </w:p>
          <w:p w14:paraId="33497F4C" w14:textId="795F8B14" w:rsidR="00B6786F" w:rsidRPr="00444CFA" w:rsidRDefault="007F313D" w:rsidP="002631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VERY LOW</w:t>
            </w:r>
          </w:p>
        </w:tc>
      </w:tr>
      <w:tr w:rsidR="00B6786F" w:rsidRPr="00444CFA" w14:paraId="7EA84782" w14:textId="77777777" w:rsidTr="00B6786F">
        <w:tc>
          <w:tcPr>
            <w:tcW w:w="0" w:type="auto"/>
            <w:shd w:val="clear" w:color="auto" w:fill="auto"/>
          </w:tcPr>
          <w:p w14:paraId="0568DA1D" w14:textId="15F4D6A9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22844F9F" w14:textId="23E5006C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Observational studies</w:t>
            </w:r>
          </w:p>
        </w:tc>
        <w:tc>
          <w:tcPr>
            <w:tcW w:w="0" w:type="auto"/>
            <w:shd w:val="clear" w:color="auto" w:fill="auto"/>
          </w:tcPr>
          <w:p w14:paraId="48EF4C5F" w14:textId="6ACFE621" w:rsidR="00B6786F" w:rsidRPr="00444CFA" w:rsidRDefault="0015764C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Serious</w:t>
            </w:r>
          </w:p>
        </w:tc>
        <w:tc>
          <w:tcPr>
            <w:tcW w:w="0" w:type="auto"/>
            <w:shd w:val="clear" w:color="auto" w:fill="auto"/>
          </w:tcPr>
          <w:p w14:paraId="1F51A88A" w14:textId="4578710F" w:rsidR="00B6786F" w:rsidRDefault="007C7FC9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Serious</w:t>
            </w:r>
          </w:p>
        </w:tc>
        <w:tc>
          <w:tcPr>
            <w:tcW w:w="0" w:type="auto"/>
            <w:shd w:val="clear" w:color="auto" w:fill="auto"/>
          </w:tcPr>
          <w:p w14:paraId="1ABB6950" w14:textId="13F7BCC8" w:rsidR="00B6786F" w:rsidRPr="00444CFA" w:rsidRDefault="007C7FC9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444CFA">
              <w:rPr>
                <w:sz w:val="18"/>
                <w:szCs w:val="18"/>
                <w:lang w:val="en-US"/>
              </w:rPr>
              <w:t>Not serious</w:t>
            </w:r>
          </w:p>
        </w:tc>
        <w:tc>
          <w:tcPr>
            <w:tcW w:w="0" w:type="auto"/>
            <w:shd w:val="clear" w:color="auto" w:fill="auto"/>
          </w:tcPr>
          <w:p w14:paraId="22C3D7DD" w14:textId="579F2564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Cognitive impairment</w:t>
            </w:r>
          </w:p>
        </w:tc>
        <w:tc>
          <w:tcPr>
            <w:tcW w:w="0" w:type="auto"/>
            <w:shd w:val="clear" w:color="auto" w:fill="auto"/>
          </w:tcPr>
          <w:p w14:paraId="4E3CFCCC" w14:textId="4259B28E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3D1D73">
              <w:rPr>
                <w:sz w:val="18"/>
                <w:szCs w:val="18"/>
                <w:lang w:val="en-US"/>
              </w:rPr>
              <w:t>277268</w:t>
            </w:r>
          </w:p>
        </w:tc>
        <w:tc>
          <w:tcPr>
            <w:tcW w:w="0" w:type="auto"/>
            <w:shd w:val="clear" w:color="auto" w:fill="auto"/>
          </w:tcPr>
          <w:p w14:paraId="14BAEAD7" w14:textId="5287FCAD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0.042</w:t>
            </w:r>
          </w:p>
        </w:tc>
        <w:tc>
          <w:tcPr>
            <w:tcW w:w="0" w:type="auto"/>
          </w:tcPr>
          <w:p w14:paraId="61CFED94" w14:textId="3A2BF81E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0.269</w:t>
            </w:r>
          </w:p>
        </w:tc>
        <w:tc>
          <w:tcPr>
            <w:tcW w:w="0" w:type="auto"/>
            <w:shd w:val="clear" w:color="auto" w:fill="auto"/>
          </w:tcPr>
          <w:p w14:paraId="21ACEFBB" w14:textId="77777777" w:rsidR="0015764C" w:rsidRPr="00444CFA" w:rsidRDefault="0015764C" w:rsidP="001576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????</w:t>
            </w:r>
          </w:p>
          <w:p w14:paraId="00DA3ECE" w14:textId="0275A9DC" w:rsidR="00B6786F" w:rsidRPr="00444CFA" w:rsidRDefault="0015764C" w:rsidP="001576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VERY LOW</w:t>
            </w:r>
          </w:p>
        </w:tc>
      </w:tr>
      <w:tr w:rsidR="00B6786F" w:rsidRPr="00444CFA" w14:paraId="36C86F43" w14:textId="77777777" w:rsidTr="00B6786F">
        <w:tc>
          <w:tcPr>
            <w:tcW w:w="0" w:type="auto"/>
            <w:shd w:val="clear" w:color="auto" w:fill="auto"/>
          </w:tcPr>
          <w:p w14:paraId="3DCC96E5" w14:textId="4586F769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6CC595C5" w14:textId="234DF465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Observational studies</w:t>
            </w:r>
          </w:p>
        </w:tc>
        <w:tc>
          <w:tcPr>
            <w:tcW w:w="0" w:type="auto"/>
            <w:shd w:val="clear" w:color="auto" w:fill="auto"/>
          </w:tcPr>
          <w:p w14:paraId="730FAAD0" w14:textId="2635E558" w:rsidR="00B6786F" w:rsidRPr="00444CFA" w:rsidRDefault="0015764C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Serious</w:t>
            </w:r>
          </w:p>
        </w:tc>
        <w:tc>
          <w:tcPr>
            <w:tcW w:w="0" w:type="auto"/>
            <w:shd w:val="clear" w:color="auto" w:fill="auto"/>
          </w:tcPr>
          <w:p w14:paraId="3B18DE55" w14:textId="515CFF6D" w:rsidR="00B6786F" w:rsidRDefault="007C7FC9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Not serious</w:t>
            </w:r>
          </w:p>
        </w:tc>
        <w:tc>
          <w:tcPr>
            <w:tcW w:w="0" w:type="auto"/>
            <w:shd w:val="clear" w:color="auto" w:fill="auto"/>
          </w:tcPr>
          <w:p w14:paraId="44162497" w14:textId="2211FB35" w:rsidR="00B6786F" w:rsidRPr="00444CFA" w:rsidRDefault="007C7FC9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444CFA">
              <w:rPr>
                <w:sz w:val="18"/>
                <w:szCs w:val="18"/>
                <w:lang w:val="en-US"/>
              </w:rPr>
              <w:t>Not serious</w:t>
            </w:r>
          </w:p>
        </w:tc>
        <w:tc>
          <w:tcPr>
            <w:tcW w:w="0" w:type="auto"/>
            <w:shd w:val="clear" w:color="auto" w:fill="auto"/>
          </w:tcPr>
          <w:p w14:paraId="20869A29" w14:textId="7D8B8F72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PTS</w:t>
            </w:r>
          </w:p>
        </w:tc>
        <w:tc>
          <w:tcPr>
            <w:tcW w:w="0" w:type="auto"/>
            <w:shd w:val="clear" w:color="auto" w:fill="auto"/>
          </w:tcPr>
          <w:p w14:paraId="66D4E08C" w14:textId="666CD077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3D1D73">
              <w:rPr>
                <w:sz w:val="18"/>
                <w:szCs w:val="18"/>
                <w:lang w:val="en-US"/>
              </w:rPr>
              <w:t>3162</w:t>
            </w:r>
          </w:p>
        </w:tc>
        <w:tc>
          <w:tcPr>
            <w:tcW w:w="0" w:type="auto"/>
            <w:shd w:val="clear" w:color="auto" w:fill="auto"/>
          </w:tcPr>
          <w:p w14:paraId="0FB749E8" w14:textId="3F80324A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0.192</w:t>
            </w:r>
          </w:p>
        </w:tc>
        <w:tc>
          <w:tcPr>
            <w:tcW w:w="0" w:type="auto"/>
          </w:tcPr>
          <w:p w14:paraId="059B041B" w14:textId="3EDF3842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0.218</w:t>
            </w:r>
          </w:p>
        </w:tc>
        <w:tc>
          <w:tcPr>
            <w:tcW w:w="0" w:type="auto"/>
            <w:shd w:val="clear" w:color="auto" w:fill="auto"/>
          </w:tcPr>
          <w:p w14:paraId="615E2AC4" w14:textId="77777777" w:rsidR="0015764C" w:rsidRPr="00444CFA" w:rsidRDefault="0015764C" w:rsidP="001576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+???</w:t>
            </w:r>
          </w:p>
          <w:p w14:paraId="26F9237A" w14:textId="749B89A6" w:rsidR="00B6786F" w:rsidRPr="00444CFA" w:rsidRDefault="0015764C" w:rsidP="001576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VERY LOW</w:t>
            </w:r>
          </w:p>
        </w:tc>
      </w:tr>
      <w:tr w:rsidR="00B6786F" w:rsidRPr="00444CFA" w14:paraId="336A767B" w14:textId="77777777" w:rsidTr="00B6786F">
        <w:tc>
          <w:tcPr>
            <w:tcW w:w="0" w:type="auto"/>
            <w:shd w:val="clear" w:color="auto" w:fill="auto"/>
          </w:tcPr>
          <w:p w14:paraId="742DC1FC" w14:textId="3498C127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1A77D61D" w14:textId="00A59346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Observational studies</w:t>
            </w:r>
          </w:p>
        </w:tc>
        <w:tc>
          <w:tcPr>
            <w:tcW w:w="0" w:type="auto"/>
            <w:shd w:val="clear" w:color="auto" w:fill="auto"/>
          </w:tcPr>
          <w:p w14:paraId="025DC9DD" w14:textId="7653DCF3" w:rsidR="00B6786F" w:rsidRPr="00444CFA" w:rsidRDefault="0015764C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Serious</w:t>
            </w:r>
          </w:p>
        </w:tc>
        <w:tc>
          <w:tcPr>
            <w:tcW w:w="0" w:type="auto"/>
            <w:shd w:val="clear" w:color="auto" w:fill="auto"/>
          </w:tcPr>
          <w:p w14:paraId="6315E705" w14:textId="1FC6D72B" w:rsidR="00B6786F" w:rsidRDefault="007C7FC9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Not serious</w:t>
            </w:r>
          </w:p>
        </w:tc>
        <w:tc>
          <w:tcPr>
            <w:tcW w:w="0" w:type="auto"/>
            <w:shd w:val="clear" w:color="auto" w:fill="auto"/>
          </w:tcPr>
          <w:p w14:paraId="5A4C8C73" w14:textId="26DEDCB9" w:rsidR="00B6786F" w:rsidRPr="00444CFA" w:rsidRDefault="007C7FC9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444CFA">
              <w:rPr>
                <w:sz w:val="18"/>
                <w:szCs w:val="18"/>
                <w:lang w:val="en-US"/>
              </w:rPr>
              <w:t>Not serious</w:t>
            </w:r>
          </w:p>
        </w:tc>
        <w:tc>
          <w:tcPr>
            <w:tcW w:w="0" w:type="auto"/>
            <w:shd w:val="clear" w:color="auto" w:fill="auto"/>
          </w:tcPr>
          <w:p w14:paraId="45B4FC42" w14:textId="6919B604" w:rsidR="00B6786F" w:rsidRDefault="00B6786F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Sleep disturbances</w:t>
            </w:r>
          </w:p>
        </w:tc>
        <w:tc>
          <w:tcPr>
            <w:tcW w:w="0" w:type="auto"/>
            <w:shd w:val="clear" w:color="auto" w:fill="auto"/>
          </w:tcPr>
          <w:p w14:paraId="4B3E39B5" w14:textId="32E62E79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 w:rsidRPr="003D1D73">
              <w:rPr>
                <w:sz w:val="18"/>
                <w:szCs w:val="18"/>
                <w:lang w:val="en-US"/>
              </w:rPr>
              <w:t>6212</w:t>
            </w:r>
          </w:p>
        </w:tc>
        <w:tc>
          <w:tcPr>
            <w:tcW w:w="0" w:type="auto"/>
            <w:shd w:val="clear" w:color="auto" w:fill="auto"/>
          </w:tcPr>
          <w:p w14:paraId="2D38A467" w14:textId="3983FC2A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0.270</w:t>
            </w:r>
          </w:p>
        </w:tc>
        <w:tc>
          <w:tcPr>
            <w:tcW w:w="0" w:type="auto"/>
          </w:tcPr>
          <w:p w14:paraId="7107E07A" w14:textId="29C7BFEB" w:rsidR="00B6786F" w:rsidRPr="00444CFA" w:rsidRDefault="003D1D73" w:rsidP="006966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0.296</w:t>
            </w:r>
          </w:p>
        </w:tc>
        <w:tc>
          <w:tcPr>
            <w:tcW w:w="0" w:type="auto"/>
            <w:shd w:val="clear" w:color="auto" w:fill="auto"/>
          </w:tcPr>
          <w:p w14:paraId="3196F044" w14:textId="77777777" w:rsidR="0015764C" w:rsidRPr="00444CFA" w:rsidRDefault="0015764C" w:rsidP="001576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+???</w:t>
            </w:r>
          </w:p>
          <w:p w14:paraId="563B9916" w14:textId="068C323B" w:rsidR="00B6786F" w:rsidRPr="00444CFA" w:rsidRDefault="0015764C" w:rsidP="001576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VERY LOW</w:t>
            </w:r>
          </w:p>
        </w:tc>
      </w:tr>
    </w:tbl>
    <w:p w14:paraId="353D9BAA" w14:textId="5E48DFAB" w:rsidR="007C3D92" w:rsidRDefault="007C3D92" w:rsidP="007C3D92">
      <w:pPr>
        <w:pStyle w:val="Default"/>
        <w:rPr>
          <w:rFonts w:ascii="Times New Roman" w:hAnsi="Times New Roman" w:cs="Times New Roman"/>
          <w:lang w:val="en-US"/>
        </w:rPr>
      </w:pPr>
      <w:r w:rsidRPr="00291427">
        <w:rPr>
          <w:rFonts w:ascii="Times New Roman" w:hAnsi="Times New Roman" w:cs="Times New Roman"/>
          <w:lang w:val="en-US"/>
        </w:rPr>
        <w:t>Abbrevia</w:t>
      </w:r>
      <w:r>
        <w:rPr>
          <w:rFonts w:ascii="Times New Roman" w:hAnsi="Times New Roman" w:cs="Times New Roman"/>
          <w:lang w:val="en-US"/>
        </w:rPr>
        <w:t>tions: L</w:t>
      </w:r>
      <w:r w:rsidR="004344C4">
        <w:rPr>
          <w:rFonts w:ascii="Times New Roman" w:hAnsi="Times New Roman" w:cs="Times New Roman"/>
          <w:lang w:val="en-US"/>
        </w:rPr>
        <w:t>C: Long-COVID Syndrome; P: prevalence</w:t>
      </w:r>
      <w:r>
        <w:rPr>
          <w:rFonts w:ascii="Times New Roman" w:hAnsi="Times New Roman" w:cs="Times New Roman"/>
          <w:lang w:val="en-US"/>
        </w:rPr>
        <w:t>.</w:t>
      </w:r>
    </w:p>
    <w:p w14:paraId="17899DE1" w14:textId="77777777" w:rsidR="007C3D92" w:rsidRPr="00291427" w:rsidRDefault="007C3D92" w:rsidP="007C3D92">
      <w:pPr>
        <w:pStyle w:val="Default"/>
        <w:rPr>
          <w:rFonts w:ascii="Times New Roman" w:hAnsi="Times New Roman" w:cs="Times New Roman"/>
          <w:lang w:val="en-US"/>
        </w:rPr>
      </w:pPr>
    </w:p>
    <w:p w14:paraId="157A8168" w14:textId="77777777" w:rsidR="007C3D92" w:rsidRPr="00557165" w:rsidRDefault="007C3D92" w:rsidP="007C3D92">
      <w:pPr>
        <w:pStyle w:val="Default"/>
        <w:rPr>
          <w:rFonts w:ascii="Times New Roman" w:hAnsi="Times New Roman" w:cs="Times New Roman"/>
          <w:lang w:val="en-US"/>
        </w:rPr>
      </w:pPr>
      <w:r w:rsidRPr="00557165">
        <w:rPr>
          <w:rFonts w:ascii="Times New Roman" w:hAnsi="Times New Roman" w:cs="Times New Roman"/>
          <w:i/>
          <w:iCs/>
          <w:lang w:val="en-US"/>
        </w:rPr>
        <w:t>Explanation of reasons for downgrading</w:t>
      </w:r>
      <w:r>
        <w:rPr>
          <w:rFonts w:ascii="Times New Roman" w:hAnsi="Times New Roman" w:cs="Times New Roman"/>
          <w:i/>
          <w:iCs/>
          <w:lang w:val="en-US"/>
        </w:rPr>
        <w:t>/upgrading:</w:t>
      </w:r>
      <w:r w:rsidRPr="00557165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17C31CE5" w14:textId="77777777" w:rsidR="007C3D92" w:rsidRPr="00557165" w:rsidRDefault="007C3D92" w:rsidP="007C3D92">
      <w:pPr>
        <w:pStyle w:val="Default"/>
        <w:rPr>
          <w:rFonts w:ascii="Times New Roman" w:hAnsi="Times New Roman" w:cs="Times New Roman"/>
          <w:lang w:val="en-US"/>
        </w:rPr>
      </w:pPr>
      <w:r w:rsidRPr="00557165">
        <w:rPr>
          <w:rFonts w:ascii="Times New Roman" w:hAnsi="Times New Roman" w:cs="Times New Roman"/>
          <w:lang w:val="en-US"/>
        </w:rPr>
        <w:t xml:space="preserve">We GRADEd each pooled estimate for each relevant </w:t>
      </w:r>
      <w:r>
        <w:rPr>
          <w:rFonts w:ascii="Times New Roman" w:hAnsi="Times New Roman" w:cs="Times New Roman"/>
          <w:lang w:val="en-US"/>
        </w:rPr>
        <w:t>outcome</w:t>
      </w:r>
      <w:r w:rsidRPr="00557165">
        <w:rPr>
          <w:rFonts w:ascii="Times New Roman" w:hAnsi="Times New Roman" w:cs="Times New Roman"/>
          <w:lang w:val="en-US"/>
        </w:rPr>
        <w:t xml:space="preserve"> according to the following criteria: </w:t>
      </w:r>
    </w:p>
    <w:p w14:paraId="333833D1" w14:textId="0954074A" w:rsidR="007C3D92" w:rsidRPr="00557165" w:rsidRDefault="007C3D92" w:rsidP="007C3D92">
      <w:pPr>
        <w:pStyle w:val="Default"/>
        <w:rPr>
          <w:rFonts w:ascii="Times New Roman" w:hAnsi="Times New Roman" w:cs="Times New Roman"/>
          <w:lang w:val="en-US"/>
        </w:rPr>
      </w:pPr>
      <w:r w:rsidRPr="00557165">
        <w:rPr>
          <w:rFonts w:ascii="Times New Roman" w:hAnsi="Times New Roman" w:cs="Times New Roman"/>
          <w:lang w:val="en-US"/>
        </w:rPr>
        <w:t xml:space="preserve">a. </w:t>
      </w:r>
      <w:r w:rsidRPr="00557165">
        <w:rPr>
          <w:rFonts w:ascii="Times New Roman" w:hAnsi="Times New Roman" w:cs="Times New Roman"/>
          <w:b/>
          <w:bCs/>
          <w:i/>
          <w:iCs/>
          <w:lang w:val="en-US"/>
        </w:rPr>
        <w:t xml:space="preserve">Risk of Bias: </w:t>
      </w:r>
      <w:r w:rsidRPr="00557165">
        <w:rPr>
          <w:rFonts w:ascii="Times New Roman" w:hAnsi="Times New Roman" w:cs="Times New Roman"/>
          <w:i/>
          <w:iCs/>
          <w:lang w:val="en-US"/>
        </w:rPr>
        <w:t xml:space="preserve">We downgraded this domain by one level when any of the sources of Risk of Bias were rated as “high” </w:t>
      </w:r>
      <w:r w:rsidR="00B6786F">
        <w:rPr>
          <w:rFonts w:ascii="Times New Roman" w:hAnsi="Times New Roman" w:cs="Times New Roman"/>
          <w:i/>
          <w:iCs/>
          <w:lang w:val="en-US"/>
        </w:rPr>
        <w:t>or every two rated as “unclear”</w:t>
      </w:r>
      <w:r w:rsidRPr="00557165">
        <w:rPr>
          <w:rFonts w:ascii="Times New Roman" w:hAnsi="Times New Roman" w:cs="Times New Roman"/>
          <w:i/>
          <w:iCs/>
          <w:lang w:val="en-US"/>
        </w:rPr>
        <w:t xml:space="preserve"> of the studies included in the pooled estimate.</w:t>
      </w:r>
    </w:p>
    <w:p w14:paraId="0E289C5D" w14:textId="2BA2D12C" w:rsidR="007C3D92" w:rsidRPr="00557165" w:rsidRDefault="007C3D92" w:rsidP="007C3D92">
      <w:pPr>
        <w:pStyle w:val="Default"/>
        <w:rPr>
          <w:rFonts w:ascii="Times New Roman" w:hAnsi="Times New Roman" w:cs="Times New Roman"/>
          <w:lang w:val="en-US"/>
        </w:rPr>
      </w:pPr>
      <w:r w:rsidRPr="00557165">
        <w:rPr>
          <w:rFonts w:ascii="Times New Roman" w:hAnsi="Times New Roman" w:cs="Times New Roman"/>
          <w:lang w:val="en-US"/>
        </w:rPr>
        <w:t xml:space="preserve">b. </w:t>
      </w:r>
      <w:r w:rsidRPr="00557165">
        <w:rPr>
          <w:rFonts w:ascii="Times New Roman" w:hAnsi="Times New Roman" w:cs="Times New Roman"/>
          <w:b/>
          <w:bCs/>
          <w:i/>
          <w:iCs/>
          <w:lang w:val="en-US"/>
        </w:rPr>
        <w:t xml:space="preserve">Inconsistency: </w:t>
      </w:r>
      <w:r w:rsidRPr="00557165">
        <w:rPr>
          <w:rFonts w:ascii="Times New Roman" w:hAnsi="Times New Roman" w:cs="Times New Roman"/>
          <w:i/>
          <w:iCs/>
          <w:lang w:val="en-US"/>
        </w:rPr>
        <w:t xml:space="preserve">We downgraded this domain by </w:t>
      </w:r>
      <w:r>
        <w:rPr>
          <w:rFonts w:ascii="Times New Roman" w:hAnsi="Times New Roman" w:cs="Times New Roman"/>
          <w:i/>
          <w:iCs/>
          <w:lang w:val="en-US"/>
        </w:rPr>
        <w:t>one</w:t>
      </w:r>
      <w:r w:rsidRPr="00557165">
        <w:rPr>
          <w:rFonts w:ascii="Times New Roman" w:hAnsi="Times New Roman" w:cs="Times New Roman"/>
          <w:i/>
          <w:iCs/>
          <w:lang w:val="en-US"/>
        </w:rPr>
        <w:t xml:space="preserve"> level </w:t>
      </w:r>
      <w:r w:rsidR="00B6786F">
        <w:rPr>
          <w:rFonts w:ascii="Times New Roman" w:hAnsi="Times New Roman" w:cs="Times New Roman"/>
          <w:i/>
          <w:iCs/>
          <w:lang w:val="en-US"/>
        </w:rPr>
        <w:t>if the difference between weighted mean pooled prevalence and mean pooled prevalence was ≥</w:t>
      </w:r>
      <w:r w:rsidR="003D1D73">
        <w:rPr>
          <w:rFonts w:ascii="Times New Roman" w:hAnsi="Times New Roman" w:cs="Times New Roman"/>
          <w:i/>
          <w:iCs/>
          <w:lang w:val="en-US"/>
        </w:rPr>
        <w:t>1</w:t>
      </w:r>
      <w:r w:rsidR="00B6786F">
        <w:rPr>
          <w:rFonts w:ascii="Times New Roman" w:hAnsi="Times New Roman" w:cs="Times New Roman"/>
          <w:i/>
          <w:iCs/>
          <w:lang w:val="en-US"/>
        </w:rPr>
        <w:t>0%</w:t>
      </w:r>
      <w:r w:rsidRPr="00557165">
        <w:rPr>
          <w:rFonts w:ascii="Times New Roman" w:hAnsi="Times New Roman" w:cs="Times New Roman"/>
          <w:i/>
          <w:iCs/>
          <w:lang w:val="en-US"/>
        </w:rPr>
        <w:t xml:space="preserve">. </w:t>
      </w:r>
    </w:p>
    <w:p w14:paraId="4703618B" w14:textId="5BED057E" w:rsidR="007C3D92" w:rsidRPr="00557165" w:rsidRDefault="007C3D92" w:rsidP="007C3D92">
      <w:pPr>
        <w:pStyle w:val="Default"/>
        <w:rPr>
          <w:rFonts w:ascii="Times New Roman" w:hAnsi="Times New Roman" w:cs="Times New Roman"/>
          <w:lang w:val="en-US"/>
        </w:rPr>
      </w:pPr>
      <w:r w:rsidRPr="00557165">
        <w:rPr>
          <w:rFonts w:ascii="Times New Roman" w:hAnsi="Times New Roman" w:cs="Times New Roman"/>
          <w:lang w:val="en-US"/>
        </w:rPr>
        <w:t xml:space="preserve">c. </w:t>
      </w:r>
      <w:r w:rsidRPr="00557165">
        <w:rPr>
          <w:rFonts w:ascii="Times New Roman" w:hAnsi="Times New Roman" w:cs="Times New Roman"/>
          <w:b/>
          <w:bCs/>
          <w:i/>
          <w:iCs/>
          <w:lang w:val="en-US"/>
        </w:rPr>
        <w:t xml:space="preserve">Indirectness: </w:t>
      </w:r>
      <w:r w:rsidRPr="00557165">
        <w:rPr>
          <w:rFonts w:ascii="Times New Roman" w:hAnsi="Times New Roman" w:cs="Times New Roman"/>
          <w:i/>
          <w:iCs/>
          <w:lang w:val="en-US"/>
        </w:rPr>
        <w:t xml:space="preserve">We protected against indirectness in this review by ensuring all studies included in </w:t>
      </w:r>
      <w:r w:rsidR="00B6786F">
        <w:rPr>
          <w:rFonts w:ascii="Times New Roman" w:hAnsi="Times New Roman" w:cs="Times New Roman"/>
          <w:i/>
          <w:iCs/>
          <w:lang w:val="en-US"/>
        </w:rPr>
        <w:t xml:space="preserve">the </w:t>
      </w:r>
      <w:r w:rsidRPr="00557165">
        <w:rPr>
          <w:rFonts w:ascii="Times New Roman" w:hAnsi="Times New Roman" w:cs="Times New Roman"/>
          <w:i/>
          <w:iCs/>
          <w:lang w:val="en-US"/>
        </w:rPr>
        <w:t xml:space="preserve">analysis </w:t>
      </w:r>
      <w:r w:rsidR="00E90387">
        <w:rPr>
          <w:rFonts w:ascii="Times New Roman" w:hAnsi="Times New Roman" w:cs="Times New Roman"/>
          <w:i/>
          <w:iCs/>
          <w:lang w:val="en-US"/>
        </w:rPr>
        <w:t xml:space="preserve">assessed </w:t>
      </w:r>
      <w:r w:rsidR="00B6786F">
        <w:rPr>
          <w:rFonts w:ascii="Times New Roman" w:hAnsi="Times New Roman" w:cs="Times New Roman"/>
          <w:i/>
          <w:iCs/>
          <w:lang w:val="en-US"/>
        </w:rPr>
        <w:t xml:space="preserve">psychiatric symptoms </w:t>
      </w:r>
      <w:r w:rsidR="00E90387">
        <w:rPr>
          <w:rFonts w:ascii="Times New Roman" w:hAnsi="Times New Roman" w:cs="Times New Roman"/>
          <w:i/>
          <w:iCs/>
          <w:lang w:val="en-US"/>
        </w:rPr>
        <w:t>using clinical interview</w:t>
      </w:r>
      <w:r w:rsidR="00B6786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E90387">
        <w:rPr>
          <w:rFonts w:ascii="Times New Roman" w:hAnsi="Times New Roman" w:cs="Times New Roman"/>
          <w:i/>
          <w:iCs/>
          <w:lang w:val="en-US"/>
        </w:rPr>
        <w:t xml:space="preserve">or other </w:t>
      </w:r>
      <w:r w:rsidRPr="00557165">
        <w:rPr>
          <w:rFonts w:ascii="Times New Roman" w:hAnsi="Times New Roman" w:cs="Times New Roman"/>
          <w:i/>
          <w:iCs/>
          <w:lang w:val="en-US"/>
        </w:rPr>
        <w:t xml:space="preserve">validated </w:t>
      </w:r>
      <w:r w:rsidR="00B6786F">
        <w:rPr>
          <w:rFonts w:ascii="Times New Roman" w:hAnsi="Times New Roman" w:cs="Times New Roman"/>
          <w:i/>
          <w:iCs/>
          <w:lang w:val="en-US"/>
        </w:rPr>
        <w:t>psychometric tools</w:t>
      </w:r>
      <w:r w:rsidRPr="00557165">
        <w:rPr>
          <w:rFonts w:ascii="Times New Roman" w:hAnsi="Times New Roman" w:cs="Times New Roman"/>
          <w:i/>
          <w:iCs/>
          <w:lang w:val="en-US"/>
        </w:rPr>
        <w:t xml:space="preserve">. We therefore did not downgrade this domain. </w:t>
      </w:r>
    </w:p>
    <w:p w14:paraId="5E05942A" w14:textId="2EF8AD0F" w:rsidR="007C3D92" w:rsidRPr="004D117A" w:rsidRDefault="007C3D92" w:rsidP="007C3D92">
      <w:pPr>
        <w:rPr>
          <w:lang w:val="en-US"/>
        </w:rPr>
      </w:pPr>
    </w:p>
    <w:sectPr w:rsidR="007C3D92" w:rsidRPr="004D117A" w:rsidSect="007C3D92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9317" w14:textId="77777777" w:rsidR="00732106" w:rsidRDefault="00732106" w:rsidP="00F63D22">
      <w:r>
        <w:separator/>
      </w:r>
    </w:p>
  </w:endnote>
  <w:endnote w:type="continuationSeparator" w:id="0">
    <w:p w14:paraId="192054D3" w14:textId="77777777" w:rsidR="00732106" w:rsidRDefault="00732106" w:rsidP="00F6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929315550"/>
      <w:docPartObj>
        <w:docPartGallery w:val="Page Numbers (Bottom of Page)"/>
        <w:docPartUnique/>
      </w:docPartObj>
    </w:sdtPr>
    <w:sdtContent>
      <w:p w14:paraId="684D9798" w14:textId="193B86E1" w:rsidR="00F63D22" w:rsidRDefault="00F63D22" w:rsidP="0062113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56FAD06" w14:textId="77777777" w:rsidR="00F63D22" w:rsidRDefault="00F63D22" w:rsidP="00F63D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47832049"/>
      <w:docPartObj>
        <w:docPartGallery w:val="Page Numbers (Bottom of Page)"/>
        <w:docPartUnique/>
      </w:docPartObj>
    </w:sdtPr>
    <w:sdtContent>
      <w:p w14:paraId="17DC7048" w14:textId="2066A940" w:rsidR="00F63D22" w:rsidRDefault="00F63D22" w:rsidP="0062113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0C9C6CD" w14:textId="77777777" w:rsidR="00F63D22" w:rsidRDefault="00F63D22" w:rsidP="00F63D2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814D" w14:textId="77777777" w:rsidR="00732106" w:rsidRDefault="00732106" w:rsidP="00F63D22">
      <w:r>
        <w:separator/>
      </w:r>
    </w:p>
  </w:footnote>
  <w:footnote w:type="continuationSeparator" w:id="0">
    <w:p w14:paraId="6D4CAE1E" w14:textId="77777777" w:rsidR="00732106" w:rsidRDefault="00732106" w:rsidP="00F63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58"/>
    <w:rsid w:val="0000021A"/>
    <w:rsid w:val="00001686"/>
    <w:rsid w:val="00005323"/>
    <w:rsid w:val="000056DB"/>
    <w:rsid w:val="00010644"/>
    <w:rsid w:val="0002365E"/>
    <w:rsid w:val="00027074"/>
    <w:rsid w:val="000360E6"/>
    <w:rsid w:val="00043321"/>
    <w:rsid w:val="00047CB7"/>
    <w:rsid w:val="000563BE"/>
    <w:rsid w:val="00063EED"/>
    <w:rsid w:val="0007259A"/>
    <w:rsid w:val="000755A6"/>
    <w:rsid w:val="000919E0"/>
    <w:rsid w:val="000A6BB8"/>
    <w:rsid w:val="000C67D6"/>
    <w:rsid w:val="000C7AA6"/>
    <w:rsid w:val="000D679D"/>
    <w:rsid w:val="00112E9C"/>
    <w:rsid w:val="0015764C"/>
    <w:rsid w:val="001651E6"/>
    <w:rsid w:val="0016768A"/>
    <w:rsid w:val="0017553C"/>
    <w:rsid w:val="00175DB6"/>
    <w:rsid w:val="001C7132"/>
    <w:rsid w:val="001D0A01"/>
    <w:rsid w:val="001D7AD5"/>
    <w:rsid w:val="001E628D"/>
    <w:rsid w:val="001F4FA6"/>
    <w:rsid w:val="00203552"/>
    <w:rsid w:val="002233BD"/>
    <w:rsid w:val="00225A8D"/>
    <w:rsid w:val="00227110"/>
    <w:rsid w:val="002312E8"/>
    <w:rsid w:val="00245DEC"/>
    <w:rsid w:val="00254550"/>
    <w:rsid w:val="00263188"/>
    <w:rsid w:val="002B5D30"/>
    <w:rsid w:val="002B79DD"/>
    <w:rsid w:val="002C34C0"/>
    <w:rsid w:val="002D6AAD"/>
    <w:rsid w:val="002E133D"/>
    <w:rsid w:val="0030588C"/>
    <w:rsid w:val="0031118C"/>
    <w:rsid w:val="00312106"/>
    <w:rsid w:val="00314D36"/>
    <w:rsid w:val="00327ED1"/>
    <w:rsid w:val="00336A2D"/>
    <w:rsid w:val="00340338"/>
    <w:rsid w:val="0034060E"/>
    <w:rsid w:val="0034244B"/>
    <w:rsid w:val="00360B7C"/>
    <w:rsid w:val="0037123C"/>
    <w:rsid w:val="00373F39"/>
    <w:rsid w:val="00385E61"/>
    <w:rsid w:val="003927EC"/>
    <w:rsid w:val="0039580F"/>
    <w:rsid w:val="003A7DC7"/>
    <w:rsid w:val="003B165E"/>
    <w:rsid w:val="003D1481"/>
    <w:rsid w:val="003D1D73"/>
    <w:rsid w:val="003D2092"/>
    <w:rsid w:val="003D5B92"/>
    <w:rsid w:val="003E166E"/>
    <w:rsid w:val="003E2F40"/>
    <w:rsid w:val="003F01F9"/>
    <w:rsid w:val="003F0ECD"/>
    <w:rsid w:val="00404DEE"/>
    <w:rsid w:val="00405A96"/>
    <w:rsid w:val="004338F8"/>
    <w:rsid w:val="00434451"/>
    <w:rsid w:val="004344C4"/>
    <w:rsid w:val="004643A2"/>
    <w:rsid w:val="00474193"/>
    <w:rsid w:val="00477376"/>
    <w:rsid w:val="00483341"/>
    <w:rsid w:val="00483B2D"/>
    <w:rsid w:val="00483C20"/>
    <w:rsid w:val="00495B44"/>
    <w:rsid w:val="004A0B1B"/>
    <w:rsid w:val="004C38F3"/>
    <w:rsid w:val="004C46B6"/>
    <w:rsid w:val="004C4BFC"/>
    <w:rsid w:val="004C73E4"/>
    <w:rsid w:val="004C7865"/>
    <w:rsid w:val="004D117A"/>
    <w:rsid w:val="004D3114"/>
    <w:rsid w:val="004E3279"/>
    <w:rsid w:val="004F1D58"/>
    <w:rsid w:val="004F343A"/>
    <w:rsid w:val="00514D84"/>
    <w:rsid w:val="00523925"/>
    <w:rsid w:val="00524260"/>
    <w:rsid w:val="00573329"/>
    <w:rsid w:val="005741F7"/>
    <w:rsid w:val="00587F0D"/>
    <w:rsid w:val="005A1B0E"/>
    <w:rsid w:val="005C13C0"/>
    <w:rsid w:val="005C1EFF"/>
    <w:rsid w:val="005C2404"/>
    <w:rsid w:val="005D706E"/>
    <w:rsid w:val="005D7D38"/>
    <w:rsid w:val="00615185"/>
    <w:rsid w:val="00616908"/>
    <w:rsid w:val="00625770"/>
    <w:rsid w:val="00642D53"/>
    <w:rsid w:val="00644477"/>
    <w:rsid w:val="0065022A"/>
    <w:rsid w:val="0068145C"/>
    <w:rsid w:val="00684B53"/>
    <w:rsid w:val="0068506F"/>
    <w:rsid w:val="006A1751"/>
    <w:rsid w:val="006C3929"/>
    <w:rsid w:val="006C3A1A"/>
    <w:rsid w:val="006C3FE5"/>
    <w:rsid w:val="006F3283"/>
    <w:rsid w:val="006F5F51"/>
    <w:rsid w:val="006F7BFA"/>
    <w:rsid w:val="007012B9"/>
    <w:rsid w:val="007048AD"/>
    <w:rsid w:val="00710696"/>
    <w:rsid w:val="007119D5"/>
    <w:rsid w:val="00725338"/>
    <w:rsid w:val="00731783"/>
    <w:rsid w:val="00732106"/>
    <w:rsid w:val="00735E18"/>
    <w:rsid w:val="00737DE7"/>
    <w:rsid w:val="00747534"/>
    <w:rsid w:val="00752CD8"/>
    <w:rsid w:val="00755EE1"/>
    <w:rsid w:val="00756B43"/>
    <w:rsid w:val="007655D4"/>
    <w:rsid w:val="007903E2"/>
    <w:rsid w:val="00795649"/>
    <w:rsid w:val="007A491E"/>
    <w:rsid w:val="007B335A"/>
    <w:rsid w:val="007C23E6"/>
    <w:rsid w:val="007C3D92"/>
    <w:rsid w:val="007C7FC9"/>
    <w:rsid w:val="007D5887"/>
    <w:rsid w:val="007F1E5D"/>
    <w:rsid w:val="007F2F8C"/>
    <w:rsid w:val="007F313D"/>
    <w:rsid w:val="007F5B76"/>
    <w:rsid w:val="008421AB"/>
    <w:rsid w:val="0084246D"/>
    <w:rsid w:val="008816BB"/>
    <w:rsid w:val="0088353B"/>
    <w:rsid w:val="00885B2F"/>
    <w:rsid w:val="0089278E"/>
    <w:rsid w:val="008D63A7"/>
    <w:rsid w:val="008F3BF3"/>
    <w:rsid w:val="00903221"/>
    <w:rsid w:val="009033A6"/>
    <w:rsid w:val="00913BCA"/>
    <w:rsid w:val="009270EB"/>
    <w:rsid w:val="00940639"/>
    <w:rsid w:val="00957359"/>
    <w:rsid w:val="009764D3"/>
    <w:rsid w:val="00984E8D"/>
    <w:rsid w:val="00996BD0"/>
    <w:rsid w:val="009B09C1"/>
    <w:rsid w:val="009D7BCC"/>
    <w:rsid w:val="009E46A7"/>
    <w:rsid w:val="00A05F9D"/>
    <w:rsid w:val="00A23439"/>
    <w:rsid w:val="00A26443"/>
    <w:rsid w:val="00A27914"/>
    <w:rsid w:val="00A304BB"/>
    <w:rsid w:val="00A41323"/>
    <w:rsid w:val="00A53954"/>
    <w:rsid w:val="00A56F04"/>
    <w:rsid w:val="00A6194E"/>
    <w:rsid w:val="00A653F4"/>
    <w:rsid w:val="00AC7E76"/>
    <w:rsid w:val="00AD20CD"/>
    <w:rsid w:val="00AD7EFE"/>
    <w:rsid w:val="00AE097A"/>
    <w:rsid w:val="00AE6829"/>
    <w:rsid w:val="00AF4154"/>
    <w:rsid w:val="00B144E1"/>
    <w:rsid w:val="00B42C84"/>
    <w:rsid w:val="00B6786F"/>
    <w:rsid w:val="00B73355"/>
    <w:rsid w:val="00B740E2"/>
    <w:rsid w:val="00B8630E"/>
    <w:rsid w:val="00BA24D7"/>
    <w:rsid w:val="00BA4089"/>
    <w:rsid w:val="00BA73DE"/>
    <w:rsid w:val="00BC54B8"/>
    <w:rsid w:val="00BD0E4A"/>
    <w:rsid w:val="00BD3552"/>
    <w:rsid w:val="00BD37DA"/>
    <w:rsid w:val="00BD3D69"/>
    <w:rsid w:val="00BE5E2E"/>
    <w:rsid w:val="00C02BB2"/>
    <w:rsid w:val="00C1420E"/>
    <w:rsid w:val="00C16C4C"/>
    <w:rsid w:val="00C20F7B"/>
    <w:rsid w:val="00C33F40"/>
    <w:rsid w:val="00C35672"/>
    <w:rsid w:val="00C54AF2"/>
    <w:rsid w:val="00C602AB"/>
    <w:rsid w:val="00C62008"/>
    <w:rsid w:val="00C648E6"/>
    <w:rsid w:val="00C72027"/>
    <w:rsid w:val="00C865A8"/>
    <w:rsid w:val="00CA0DDE"/>
    <w:rsid w:val="00CA567C"/>
    <w:rsid w:val="00CB5667"/>
    <w:rsid w:val="00CC1E53"/>
    <w:rsid w:val="00CD3500"/>
    <w:rsid w:val="00CF6343"/>
    <w:rsid w:val="00D01AD5"/>
    <w:rsid w:val="00D07632"/>
    <w:rsid w:val="00D103CC"/>
    <w:rsid w:val="00D140E3"/>
    <w:rsid w:val="00D721AA"/>
    <w:rsid w:val="00D730E8"/>
    <w:rsid w:val="00D7448D"/>
    <w:rsid w:val="00D82C1D"/>
    <w:rsid w:val="00D84AB3"/>
    <w:rsid w:val="00D91E7C"/>
    <w:rsid w:val="00DB4BA4"/>
    <w:rsid w:val="00DC3ACA"/>
    <w:rsid w:val="00DD5B31"/>
    <w:rsid w:val="00DE2388"/>
    <w:rsid w:val="00DE659E"/>
    <w:rsid w:val="00DE78B2"/>
    <w:rsid w:val="00DF07A6"/>
    <w:rsid w:val="00E1214D"/>
    <w:rsid w:val="00E169AC"/>
    <w:rsid w:val="00E25DFC"/>
    <w:rsid w:val="00E30D98"/>
    <w:rsid w:val="00E32BFD"/>
    <w:rsid w:val="00E35460"/>
    <w:rsid w:val="00E42F75"/>
    <w:rsid w:val="00E517C6"/>
    <w:rsid w:val="00E52D23"/>
    <w:rsid w:val="00E70E25"/>
    <w:rsid w:val="00E74EA1"/>
    <w:rsid w:val="00E74FEE"/>
    <w:rsid w:val="00E76FAA"/>
    <w:rsid w:val="00E8367B"/>
    <w:rsid w:val="00E87539"/>
    <w:rsid w:val="00E90387"/>
    <w:rsid w:val="00E9368D"/>
    <w:rsid w:val="00E97E5F"/>
    <w:rsid w:val="00EA0FA3"/>
    <w:rsid w:val="00EB760F"/>
    <w:rsid w:val="00EC21BC"/>
    <w:rsid w:val="00EC2E10"/>
    <w:rsid w:val="00EE793C"/>
    <w:rsid w:val="00EF3F66"/>
    <w:rsid w:val="00F07B5B"/>
    <w:rsid w:val="00F234BC"/>
    <w:rsid w:val="00F268F3"/>
    <w:rsid w:val="00F2798F"/>
    <w:rsid w:val="00F27A5A"/>
    <w:rsid w:val="00F33A16"/>
    <w:rsid w:val="00F45568"/>
    <w:rsid w:val="00F60870"/>
    <w:rsid w:val="00F639B7"/>
    <w:rsid w:val="00F63D22"/>
    <w:rsid w:val="00F64C1A"/>
    <w:rsid w:val="00F74596"/>
    <w:rsid w:val="00F83A1A"/>
    <w:rsid w:val="00F85572"/>
    <w:rsid w:val="00F86ED8"/>
    <w:rsid w:val="00FB24BA"/>
    <w:rsid w:val="00FE179D"/>
    <w:rsid w:val="00FE3C02"/>
    <w:rsid w:val="00FF47B0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46A89"/>
  <w15:chartTrackingRefBased/>
  <w15:docId w15:val="{998739E8-F394-9544-8DA1-F23B1172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C1D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63D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D22"/>
    <w:rPr>
      <w:rFonts w:ascii="Times New Roman" w:hAnsi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F63D22"/>
  </w:style>
  <w:style w:type="paragraph" w:customStyle="1" w:styleId="Default">
    <w:name w:val="Default"/>
    <w:rsid w:val="007C3D92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MARCHI</dc:creator>
  <cp:keywords/>
  <dc:description/>
  <cp:lastModifiedBy>MATTIA MARCHI</cp:lastModifiedBy>
  <cp:revision>35</cp:revision>
  <dcterms:created xsi:type="dcterms:W3CDTF">2022-11-27T17:50:00Z</dcterms:created>
  <dcterms:modified xsi:type="dcterms:W3CDTF">2022-12-21T16:43:00Z</dcterms:modified>
</cp:coreProperties>
</file>