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46" w:rsidRDefault="00966630">
      <w:pPr>
        <w:widowControl/>
        <w:shd w:val="clear" w:color="auto" w:fill="FFFFFF"/>
        <w:jc w:val="center"/>
        <w:rPr>
          <w:rFonts w:ascii="Times New Roman" w:eastAsia="MuseoSans-300" w:hAnsi="Times New Roman" w:cs="Times New Roman"/>
          <w:b/>
          <w:bCs/>
          <w:sz w:val="32"/>
          <w:szCs w:val="28"/>
        </w:rPr>
      </w:pPr>
      <w:bookmarkStart w:id="0" w:name="_GoBack"/>
      <w:r w:rsidRPr="00966630">
        <w:rPr>
          <w:rFonts w:ascii="Times New Roman" w:eastAsia="MuseoSans-300" w:hAnsi="Times New Roman" w:cs="Times New Roman" w:hint="eastAsia"/>
          <w:b/>
          <w:bCs/>
          <w:sz w:val="32"/>
          <w:szCs w:val="28"/>
        </w:rPr>
        <w:t>S</w:t>
      </w:r>
      <w:r w:rsidRPr="00966630">
        <w:rPr>
          <w:rFonts w:ascii="Times New Roman" w:eastAsia="MuseoSans-300" w:hAnsi="Times New Roman" w:cs="Times New Roman"/>
          <w:b/>
          <w:bCs/>
          <w:sz w:val="32"/>
          <w:szCs w:val="28"/>
        </w:rPr>
        <w:t xml:space="preserve">upplementary </w:t>
      </w:r>
      <w:r w:rsidRPr="00966630">
        <w:rPr>
          <w:rFonts w:ascii="Times New Roman" w:eastAsia="MuseoSans-300" w:hAnsi="Times New Roman" w:cs="Times New Roman" w:hint="eastAsia"/>
          <w:b/>
          <w:bCs/>
          <w:sz w:val="32"/>
          <w:szCs w:val="28"/>
        </w:rPr>
        <w:t>materials</w:t>
      </w:r>
    </w:p>
    <w:bookmarkEnd w:id="0"/>
    <w:p w:rsidR="00966630" w:rsidRPr="00966630" w:rsidRDefault="00966630">
      <w:pPr>
        <w:widowControl/>
        <w:shd w:val="clear" w:color="auto" w:fill="FFFFFF"/>
        <w:jc w:val="center"/>
        <w:rPr>
          <w:rFonts w:ascii="Times New Roman" w:eastAsia="MuseoSans-300" w:hAnsi="Times New Roman" w:cs="Times New Roman"/>
          <w:b/>
          <w:bCs/>
          <w:sz w:val="32"/>
          <w:szCs w:val="28"/>
        </w:rPr>
      </w:pPr>
      <w:r w:rsidRPr="00966630">
        <w:rPr>
          <w:rFonts w:ascii="Times New Roman" w:eastAsia="MuseoSans-300" w:hAnsi="Times New Roman" w:cs="Times New Roman"/>
          <w:b/>
          <w:bCs/>
          <w:sz w:val="32"/>
          <w:szCs w:val="28"/>
        </w:rPr>
        <w:t>Spatial-temporal clustering of an outbreak of SARS-CoV-2 Delta VOC in Guangzhou, China in 2021</w:t>
      </w:r>
    </w:p>
    <w:p w:rsidR="00966630" w:rsidRDefault="00966630">
      <w:pPr>
        <w:widowControl/>
        <w:shd w:val="clear" w:color="auto" w:fill="FFFFFF"/>
        <w:jc w:val="center"/>
        <w:rPr>
          <w:rFonts w:ascii="Times New Roman" w:eastAsia="MuseoSans-300" w:hAnsi="Times New Roman" w:cs="Times New Roman"/>
          <w:color w:val="0070C0"/>
          <w:sz w:val="24"/>
          <w:szCs w:val="21"/>
          <w:shd w:val="clear" w:color="auto" w:fill="FFFFFF"/>
        </w:rPr>
      </w:pPr>
    </w:p>
    <w:p w:rsidR="00966630" w:rsidRDefault="00966630">
      <w:pPr>
        <w:widowControl/>
        <w:shd w:val="clear" w:color="auto" w:fill="FFFFFF"/>
        <w:jc w:val="center"/>
        <w:rPr>
          <w:rFonts w:ascii="Times New Roman" w:eastAsia="MuseoSans-300" w:hAnsi="Times New Roman" w:cs="Times New Roman" w:hint="eastAsia"/>
          <w:color w:val="0070C0"/>
          <w:sz w:val="24"/>
          <w:szCs w:val="21"/>
          <w:shd w:val="clear" w:color="auto" w:fill="FFFFFF"/>
        </w:rPr>
      </w:pPr>
    </w:p>
    <w:p w:rsidR="00966630" w:rsidRDefault="00966630">
      <w:pPr>
        <w:widowControl/>
        <w:shd w:val="clear" w:color="auto" w:fill="FFFFFF"/>
        <w:jc w:val="center"/>
        <w:rPr>
          <w:rFonts w:ascii="Times New Roman" w:eastAsia="MuseoSans-300" w:hAnsi="Times New Roman" w:cs="Times New Roman" w:hint="eastAsia"/>
          <w:color w:val="0070C0"/>
          <w:sz w:val="24"/>
          <w:szCs w:val="21"/>
          <w:shd w:val="clear" w:color="auto" w:fill="FFFFFF"/>
        </w:rPr>
      </w:pPr>
    </w:p>
    <w:p w:rsidR="00923C46" w:rsidRDefault="00966630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 w:hint="eastAsia"/>
          <w:noProof/>
          <w:color w:val="0070C0"/>
          <w:sz w:val="24"/>
          <w:szCs w:val="21"/>
          <w:shd w:val="clear" w:color="auto" w:fill="FFFFFF"/>
        </w:rPr>
        <w:drawing>
          <wp:inline distT="0" distB="0" distL="114300" distR="114300">
            <wp:extent cx="5267295" cy="3867150"/>
            <wp:effectExtent l="0" t="0" r="0" b="0"/>
            <wp:docPr id="2" name="图片 2" descr="41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241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7" r="13865" b="6001"/>
                    <a:stretch>
                      <a:fillRect/>
                    </a:stretch>
                  </pic:blipFill>
                  <pic:spPr>
                    <a:xfrm>
                      <a:off x="0" y="0"/>
                      <a:ext cx="5279128" cy="387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46" w:rsidRDefault="00966630">
      <w:pPr>
        <w:widowControl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Figure S</w:t>
      </w:r>
      <w:r>
        <w:rPr>
          <w:rFonts w:ascii="Times New Roman" w:hAnsi="Times New Roman" w:cs="Times New Roman" w:hint="eastAsia"/>
          <w:b/>
          <w:bCs/>
          <w:iCs/>
          <w:sz w:val="24"/>
        </w:rPr>
        <w:t xml:space="preserve">1   </w:t>
      </w:r>
      <w:r>
        <w:rPr>
          <w:rFonts w:ascii="Times New Roman" w:hAnsi="Times New Roman" w:cs="Times New Roman" w:hint="eastAsia"/>
          <w:kern w:val="0"/>
          <w:sz w:val="24"/>
        </w:rPr>
        <w:t>Spatial-temporal</w:t>
      </w:r>
      <w:r>
        <w:rPr>
          <w:rFonts w:ascii="Times New Roman" w:hAnsi="Times New Roman" w:cs="Times New Roman"/>
          <w:iCs/>
          <w:sz w:val="24"/>
        </w:rPr>
        <w:t xml:space="preserve"> clustering of all cases </w:t>
      </w:r>
      <w:r>
        <w:rPr>
          <w:rFonts w:ascii="Times New Roman" w:hAnsi="Times New Roman" w:cs="Times New Roman" w:hint="eastAsia"/>
          <w:iCs/>
          <w:sz w:val="24"/>
        </w:rPr>
        <w:t xml:space="preserve">before and after the peak of the </w:t>
      </w:r>
      <w:r>
        <w:rPr>
          <w:rFonts w:ascii="Times New Roman" w:hAnsi="Times New Roman" w:cs="Times New Roman"/>
          <w:iCs/>
          <w:sz w:val="24"/>
        </w:rPr>
        <w:t xml:space="preserve">SARS-CoV-2 </w:t>
      </w:r>
      <w:r>
        <w:rPr>
          <w:rFonts w:ascii="Times New Roman" w:hAnsi="Times New Roman" w:cs="Times New Roman" w:hint="eastAsia"/>
          <w:iCs/>
          <w:sz w:val="24"/>
        </w:rPr>
        <w:t>outbreak in</w:t>
      </w:r>
      <w:r>
        <w:rPr>
          <w:rFonts w:ascii="Times New Roman" w:hAnsi="Times New Roman" w:cs="Times New Roman"/>
          <w:iCs/>
          <w:sz w:val="24"/>
        </w:rPr>
        <w:t xml:space="preserve"> Guangzhou </w:t>
      </w:r>
      <w:r>
        <w:rPr>
          <w:rFonts w:ascii="Times New Roman" w:hAnsi="Times New Roman" w:cs="Times New Roman" w:hint="eastAsia"/>
          <w:iCs/>
          <w:sz w:val="24"/>
        </w:rPr>
        <w:t>on April 23</w:t>
      </w:r>
      <w:r>
        <w:rPr>
          <w:rFonts w:ascii="Times New Roman" w:eastAsia="宋体" w:hAnsi="Times New Roman" w:cs="Times New Roman"/>
          <w:kern w:val="0"/>
          <w:sz w:val="24"/>
        </w:rPr>
        <w:t>–</w:t>
      </w:r>
      <w:r>
        <w:rPr>
          <w:rFonts w:ascii="Times New Roman" w:hAnsi="Times New Roman" w:cs="Times New Roman" w:hint="eastAsia"/>
          <w:iCs/>
          <w:sz w:val="24"/>
        </w:rPr>
        <w:t>May 4, 2020 (1000 m, 1</w:t>
      </w:r>
      <w:r>
        <w:rPr>
          <w:rFonts w:ascii="Times New Roman" w:eastAsia="宋体" w:hAnsi="Times New Roman" w:cs="Times New Roman"/>
          <w:kern w:val="0"/>
          <w:sz w:val="24"/>
        </w:rPr>
        <w:t>–</w:t>
      </w:r>
      <w:r>
        <w:rPr>
          <w:rFonts w:ascii="Times New Roman" w:hAnsi="Times New Roman" w:cs="Times New Roman" w:hint="eastAsia"/>
          <w:iCs/>
          <w:sz w:val="24"/>
        </w:rPr>
        <w:t>14 days).</w:t>
      </w:r>
    </w:p>
    <w:p w:rsidR="00923C46" w:rsidRDefault="00966630">
      <w:pPr>
        <w:rPr>
          <w:rFonts w:ascii="Times New Roman" w:eastAsia="Trebuchet MS" w:hAnsi="Times New Roman" w:cs="Times New Roman"/>
          <w:color w:val="3E3D40"/>
          <w:sz w:val="24"/>
          <w:shd w:val="clear" w:color="auto" w:fill="FFFFFF"/>
        </w:rPr>
      </w:pPr>
      <w:r>
        <w:rPr>
          <w:rFonts w:ascii="Times New Roman" w:eastAsia="宋体" w:hAnsi="Times New Roman" w:cs="Times New Roman"/>
          <w:bCs/>
          <w:kern w:val="0"/>
          <w:sz w:val="24"/>
        </w:rPr>
        <w:br w:type="page"/>
      </w:r>
    </w:p>
    <w:p w:rsidR="00923C46" w:rsidRDefault="00966630">
      <w:pPr>
        <w:spacing w:line="480" w:lineRule="auto"/>
        <w:jc w:val="center"/>
        <w:rPr>
          <w:rFonts w:ascii="Times New Roman" w:eastAsia="宋体"/>
          <w:szCs w:val="32"/>
        </w:rPr>
      </w:pPr>
      <w:r>
        <w:rPr>
          <w:rFonts w:ascii="Times New Roman" w:hAnsi="Times New Roman" w:cs="Times New Roman"/>
          <w:b/>
          <w:bCs/>
          <w:iCs/>
          <w:sz w:val="24"/>
        </w:rPr>
        <w:lastRenderedPageBreak/>
        <w:t xml:space="preserve">Table S1   </w:t>
      </w:r>
      <w:r>
        <w:rPr>
          <w:rFonts w:ascii="Times New Roman" w:eastAsia="宋体" w:hAnsi="Times New Roman" w:cs="Times New Roman"/>
          <w:bCs/>
          <w:kern w:val="0"/>
          <w:sz w:val="24"/>
        </w:rPr>
        <w:t xml:space="preserve">The strength of 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spatial-temporal clustering</w:t>
      </w:r>
      <w:r>
        <w:rPr>
          <w:rFonts w:ascii="Times New Roman" w:eastAsia="宋体" w:hAnsi="Times New Roman" w:cs="Times New Roman"/>
          <w:bCs/>
          <w:kern w:val="0"/>
          <w:sz w:val="24"/>
        </w:rPr>
        <w:t xml:space="preserve"> (S) of all case pairs 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before and after the peak of the epidemic in 2021,</w:t>
      </w:r>
      <w:r>
        <w:rPr>
          <w:rFonts w:ascii="Times New Roman" w:eastAsia="宋体" w:hAnsi="Times New Roman" w:cs="Times New Roman"/>
          <w:bCs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0"/>
          <w:sz w:val="24"/>
        </w:rPr>
        <w:t>Guangzhou, China.</w:t>
      </w:r>
    </w:p>
    <w:tbl>
      <w:tblPr>
        <w:tblW w:w="8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4"/>
        <w:gridCol w:w="714"/>
        <w:gridCol w:w="713"/>
        <w:gridCol w:w="713"/>
        <w:gridCol w:w="713"/>
        <w:gridCol w:w="713"/>
        <w:gridCol w:w="713"/>
        <w:gridCol w:w="713"/>
        <w:gridCol w:w="713"/>
        <w:gridCol w:w="713"/>
        <w:gridCol w:w="715"/>
      </w:tblGrid>
      <w:tr w:rsidR="00923C46" w:rsidTr="00966630">
        <w:trPr>
          <w:trHeight w:val="587"/>
        </w:trPr>
        <w:tc>
          <w:tcPr>
            <w:tcW w:w="132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C46" w:rsidRDefault="00966630" w:rsidP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Time interval (days)</w:t>
            </w:r>
          </w:p>
        </w:tc>
        <w:tc>
          <w:tcPr>
            <w:tcW w:w="7133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Distance between case pairs (meters)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</w:rPr>
              <w:t>18 May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</w:rPr>
              <w:t xml:space="preserve"> to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31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May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2021</w:t>
            </w:r>
          </w:p>
        </w:tc>
      </w:tr>
      <w:tr w:rsidR="00923C46" w:rsidTr="00966630">
        <w:trPr>
          <w:trHeight w:val="668"/>
        </w:trPr>
        <w:tc>
          <w:tcPr>
            <w:tcW w:w="13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3C46" w:rsidRDefault="00923C46" w:rsidP="0096663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26.14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13.39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10.84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9.36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10.26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8.89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8.59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7.76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7.17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12.09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5.87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2.58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3.93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3.72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11.86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6.51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8.19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8.77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7.23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6.50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6.76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7.06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6.73 </w:t>
            </w:r>
          </w:p>
        </w:tc>
      </w:tr>
      <w:tr w:rsidR="00923C46" w:rsidTr="00966630">
        <w:trPr>
          <w:trHeight w:val="91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3.39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3.61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5.39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6.36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3.85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3.64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3.56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5.29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6.05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6.62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4.17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4.46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5.46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3.73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3.91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3.98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4.10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4.26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3.61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4.61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4.78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4.62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4.66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3.10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3.17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</w:tr>
      <w:tr w:rsidR="00923C46" w:rsidTr="00966630">
        <w:trPr>
          <w:trHeight w:val="334"/>
        </w:trPr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</w:tr>
      <w:tr w:rsidR="00923C46" w:rsidTr="00966630">
        <w:trPr>
          <w:trHeight w:val="587"/>
        </w:trPr>
        <w:tc>
          <w:tcPr>
            <w:tcW w:w="132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C46" w:rsidRDefault="00966630" w:rsidP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Time interval (days)</w:t>
            </w:r>
          </w:p>
        </w:tc>
        <w:tc>
          <w:tcPr>
            <w:tcW w:w="7133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ind w:firstLineChars="100" w:firstLine="241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Distance between case pairs (meters),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</w:rPr>
              <w:t xml:space="preserve">1 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</w:rPr>
              <w:t>June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</w:rPr>
              <w:t>to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18 June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 xml:space="preserve"> 202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23C46" w:rsidTr="00966630">
        <w:trPr>
          <w:trHeight w:val="668"/>
        </w:trPr>
        <w:tc>
          <w:tcPr>
            <w:tcW w:w="1324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3C46" w:rsidRDefault="00923C46" w:rsidP="0096663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1000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26.14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13.39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10.84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9.36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10.26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8.89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8.59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7.76 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7.17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12.09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5.87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1.36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2.58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2.63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2.98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3.93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3.72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20.14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11.86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6.51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8.19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8.77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7.23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6.50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6.76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7.06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6.73 </w:t>
            </w:r>
          </w:p>
        </w:tc>
      </w:tr>
      <w:tr w:rsidR="00923C46" w:rsidTr="00966630">
        <w:trPr>
          <w:trHeight w:val="91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3.39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3.61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5.39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6.36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3.85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3.64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3.56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5.29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6.05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6.62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4.17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4.46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5.46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3.73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3.91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3.98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4.10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4.26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3.61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4.61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4.84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4.78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4.59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4.62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4.66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2.83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3.08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3.17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3.21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3.10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3.15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3.17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2.43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2.14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1.72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1.26 </w:t>
            </w:r>
          </w:p>
        </w:tc>
      </w:tr>
      <w:tr w:rsidR="00923C46" w:rsidTr="00966630">
        <w:trPr>
          <w:trHeight w:val="319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1.02 </w:t>
            </w:r>
          </w:p>
        </w:tc>
      </w:tr>
      <w:tr w:rsidR="00923C46" w:rsidTr="00966630">
        <w:trPr>
          <w:trHeight w:val="334"/>
        </w:trPr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 w:rsidP="0096663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noWrap/>
            <w:vAlign w:val="center"/>
          </w:tcPr>
          <w:p w:rsidR="00923C46" w:rsidRDefault="00966630">
            <w:pPr>
              <w:widowControl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</w:tr>
    </w:tbl>
    <w:p w:rsidR="00923C46" w:rsidRDefault="00966630">
      <w:pPr>
        <w:rPr>
          <w:rFonts w:ascii="Times New Roman" w:eastAsia="宋体"/>
          <w:szCs w:val="32"/>
        </w:rPr>
      </w:pPr>
      <w:r>
        <w:rPr>
          <w:rFonts w:ascii="Times New Roman" w:eastAsia="宋体"/>
          <w:szCs w:val="32"/>
        </w:rPr>
        <w:br w:type="page"/>
      </w:r>
    </w:p>
    <w:p w:rsidR="00923C46" w:rsidRDefault="00966630" w:rsidP="00966630">
      <w:pPr>
        <w:widowControl/>
        <w:spacing w:beforeLines="50" w:before="156" w:afterLines="50" w:after="156" w:line="276" w:lineRule="auto"/>
        <w:ind w:left="241" w:hangingChars="100" w:hanging="241"/>
        <w:jc w:val="center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lastRenderedPageBreak/>
        <w:t xml:space="preserve">Table </w:t>
      </w:r>
      <w:r>
        <w:rPr>
          <w:rFonts w:ascii="Times New Roman" w:hAnsi="Times New Roman" w:cs="Times New Roman" w:hint="eastAsia"/>
          <w:b/>
          <w:bCs/>
          <w:iCs/>
          <w:sz w:val="24"/>
        </w:rPr>
        <w:t xml:space="preserve">S2 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Changes in strength (S) of </w:t>
      </w:r>
      <w:r>
        <w:rPr>
          <w:rFonts w:ascii="Times New Roman" w:hAnsi="Times New Roman" w:cs="Times New Roman" w:hint="eastAsia"/>
          <w:kern w:val="0"/>
          <w:sz w:val="24"/>
        </w:rPr>
        <w:t>spatial-temporal</w:t>
      </w:r>
      <w:r>
        <w:rPr>
          <w:rFonts w:ascii="Times New Roman" w:hAnsi="Times New Roman" w:cs="Times New Roman"/>
          <w:kern w:val="0"/>
          <w:sz w:val="24"/>
        </w:rPr>
        <w:t xml:space="preserve"> clustering before and after the peak of outbreaks in Guangzhou in 2020 and 2021</w:t>
      </w:r>
    </w:p>
    <w:tbl>
      <w:tblPr>
        <w:tblW w:w="8852" w:type="dxa"/>
        <w:tblInd w:w="108" w:type="dxa"/>
        <w:tblLook w:val="04A0" w:firstRow="1" w:lastRow="0" w:firstColumn="1" w:lastColumn="0" w:noHBand="0" w:noVBand="1"/>
      </w:tblPr>
      <w:tblGrid>
        <w:gridCol w:w="998"/>
        <w:gridCol w:w="1033"/>
        <w:gridCol w:w="1534"/>
        <w:gridCol w:w="1534"/>
        <w:gridCol w:w="998"/>
        <w:gridCol w:w="998"/>
        <w:gridCol w:w="998"/>
        <w:gridCol w:w="998"/>
      </w:tblGrid>
      <w:tr w:rsidR="00966630" w:rsidRPr="00966630" w:rsidTr="00966630">
        <w:trPr>
          <w:trHeight w:val="287"/>
        </w:trPr>
        <w:tc>
          <w:tcPr>
            <w:tcW w:w="97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Outbreak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Temporal variable (days)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S-pre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S-post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S-pre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S-post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S-change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S-change rate</w:t>
            </w:r>
          </w:p>
        </w:tc>
      </w:tr>
      <w:tr w:rsidR="00966630" w:rsidRPr="00966630" w:rsidTr="00966630">
        <w:trPr>
          <w:trHeight w:val="565"/>
        </w:trPr>
        <w:tc>
          <w:tcPr>
            <w:tcW w:w="974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6630" w:rsidRPr="00966630" w:rsidRDefault="00966630" w:rsidP="009666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6630" w:rsidRPr="00966630" w:rsidRDefault="00966630" w:rsidP="009666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(Accumulative)</w:t>
            </w:r>
          </w:p>
        </w:tc>
        <w:tc>
          <w:tcPr>
            <w:tcW w:w="1487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(Accumulative)</w:t>
            </w:r>
          </w:p>
        </w:tc>
        <w:tc>
          <w:tcPr>
            <w:tcW w:w="97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(Median)</w:t>
            </w:r>
          </w:p>
        </w:tc>
        <w:tc>
          <w:tcPr>
            <w:tcW w:w="974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(Median)</w:t>
            </w:r>
          </w:p>
        </w:tc>
        <w:tc>
          <w:tcPr>
            <w:tcW w:w="974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6630" w:rsidRPr="00966630" w:rsidRDefault="00966630" w:rsidP="009666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6630" w:rsidRPr="00966630" w:rsidRDefault="00966630" w:rsidP="0096663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966630" w:rsidRPr="00966630" w:rsidTr="00966630">
        <w:trPr>
          <w:trHeight w:val="28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1–5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332.4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203.21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129.19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38.87%</w:t>
            </w:r>
          </w:p>
        </w:tc>
      </w:tr>
      <w:tr w:rsidR="00966630" w:rsidRPr="00966630" w:rsidTr="00966630">
        <w:trPr>
          <w:trHeight w:val="28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6–10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165.65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79.04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86.61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52.28%</w:t>
            </w:r>
          </w:p>
        </w:tc>
      </w:tr>
      <w:tr w:rsidR="00966630" w:rsidRPr="00966630" w:rsidTr="00966630">
        <w:trPr>
          <w:trHeight w:val="28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11–14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43.22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22.35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20.87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48.29%</w:t>
            </w:r>
          </w:p>
        </w:tc>
      </w:tr>
      <w:tr w:rsidR="00966630" w:rsidRPr="00966630" w:rsidTr="00966630">
        <w:trPr>
          <w:trHeight w:val="287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1–5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279.21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195.4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83.81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30.02%</w:t>
            </w:r>
          </w:p>
        </w:tc>
      </w:tr>
      <w:tr w:rsidR="00966630" w:rsidRPr="00966630" w:rsidTr="00966630">
        <w:trPr>
          <w:trHeight w:val="287"/>
        </w:trPr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6–10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158.86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51.09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107.77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67.84%</w:t>
            </w:r>
          </w:p>
        </w:tc>
      </w:tr>
      <w:tr w:rsidR="00966630" w:rsidRPr="00966630" w:rsidTr="00966630">
        <w:trPr>
          <w:trHeight w:val="298"/>
        </w:trPr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66630" w:rsidRPr="00966630" w:rsidRDefault="00966630" w:rsidP="0096663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666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11–14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44.04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29.34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966630" w:rsidRPr="00966630" w:rsidRDefault="00966630" w:rsidP="0096663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666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66.62%</w:t>
            </w:r>
          </w:p>
        </w:tc>
      </w:tr>
    </w:tbl>
    <w:p w:rsidR="00923C46" w:rsidRDefault="00966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</w:rPr>
        <w:t>S-</w:t>
      </w:r>
      <w:r>
        <w:rPr>
          <w:rFonts w:ascii="Times New Roman" w:hAnsi="Times New Roman" w:cs="Times New Roman"/>
        </w:rPr>
        <w:t>change rate=</w:t>
      </w:r>
      <w:proofErr w:type="gramStart"/>
      <w:r>
        <w:rPr>
          <w:rFonts w:ascii="Times New Roman" w:hAnsi="Times New Roman" w:cs="Times New Roman"/>
        </w:rPr>
        <w:t>100%</w:t>
      </w:r>
      <w:proofErr w:type="gramEnd"/>
      <w:r>
        <w:rPr>
          <w:rFonts w:ascii="Times New Roman" w:hAnsi="Times New Roman" w:cs="Times New Roman"/>
        </w:rPr>
        <w:t xml:space="preserve">*(S-pre </w:t>
      </w:r>
      <w:r>
        <w:rPr>
          <w:rFonts w:ascii="Times New Roman" w:eastAsia="宋体" w:hAnsi="Times New Roman" w:cs="Times New Roman"/>
          <w:kern w:val="0"/>
          <w:sz w:val="24"/>
        </w:rPr>
        <w:t>–</w:t>
      </w:r>
      <w:r>
        <w:rPr>
          <w:rFonts w:ascii="Times New Roman" w:hAnsi="Times New Roman" w:cs="Times New Roman"/>
        </w:rPr>
        <w:t xml:space="preserve"> S-post)/ S-pre</w:t>
      </w:r>
    </w:p>
    <w:p w:rsidR="00923C46" w:rsidRDefault="00923C46"/>
    <w:sectPr w:rsidR="0092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300">
    <w:altName w:val="宋体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93B453"/>
    <w:multiLevelType w:val="singleLevel"/>
    <w:tmpl w:val="AE93B453"/>
    <w:lvl w:ilvl="0">
      <w:start w:val="19"/>
      <w:numFmt w:val="upperLetter"/>
      <w:suff w:val="nothing"/>
      <w:lvlText w:val="%1-"/>
      <w:lvlJc w:val="left"/>
    </w:lvl>
  </w:abstractNum>
  <w:abstractNum w:abstractNumId="1" w15:restartNumberingAfterBreak="0">
    <w:nsid w:val="DAFBD7F7"/>
    <w:multiLevelType w:val="singleLevel"/>
    <w:tmpl w:val="DAFBD7F7"/>
    <w:lvl w:ilvl="0">
      <w:start w:val="19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ysLA0MLE0BgJLMyUdpeDU4uLM/DyQAsNaAKwjiZ0sAAAA"/>
    <w:docVar w:name="commondata" w:val="eyJoZGlkIjoiMmE2MjgzN2NlMzBiOGQ2NDA2MjQzZjY4NzM0MDQyMGEifQ=="/>
  </w:docVars>
  <w:rsids>
    <w:rsidRoot w:val="00172A27"/>
    <w:rsid w:val="00172A27"/>
    <w:rsid w:val="00923C46"/>
    <w:rsid w:val="00966630"/>
    <w:rsid w:val="07E5741D"/>
    <w:rsid w:val="13CB2984"/>
    <w:rsid w:val="1E7476B9"/>
    <w:rsid w:val="2165164A"/>
    <w:rsid w:val="23AE4FF1"/>
    <w:rsid w:val="302C7D96"/>
    <w:rsid w:val="375916E2"/>
    <w:rsid w:val="55E0078B"/>
    <w:rsid w:val="5A8F02DC"/>
    <w:rsid w:val="663A7A43"/>
    <w:rsid w:val="755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9E116D-632E-463D-9F71-EEEBE6D1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Company>省卫生和计划生育委员会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肖建鹏</cp:lastModifiedBy>
  <cp:revision>2</cp:revision>
  <dcterms:created xsi:type="dcterms:W3CDTF">2022-11-30T13:44:00Z</dcterms:created>
  <dcterms:modified xsi:type="dcterms:W3CDTF">2022-11-30T13:44:00Z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C956D23E8B714043A1084707608A0251</vt:lpwstr>
  </property>
</Properties>
</file>