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A378B" w14:textId="78A056E4" w:rsidR="0067277A" w:rsidRDefault="0067277A" w:rsidP="0067277A">
      <w:pPr>
        <w:pStyle w:val="Heading1"/>
        <w:numPr>
          <w:ilvl w:val="0"/>
          <w:numId w:val="0"/>
        </w:numPr>
        <w:ind w:left="567" w:hanging="567"/>
      </w:pPr>
      <w:r>
        <w:t>Supplementary data</w:t>
      </w:r>
    </w:p>
    <w:p w14:paraId="2E43A862" w14:textId="323D0D08" w:rsidR="0067277A" w:rsidRPr="00CD05D2" w:rsidRDefault="0067277A" w:rsidP="0067277A">
      <w:pPr>
        <w:pStyle w:val="Heading4"/>
        <w:numPr>
          <w:ilvl w:val="0"/>
          <w:numId w:val="0"/>
        </w:numPr>
        <w:rPr>
          <w:rFonts w:cs="Times New Roman"/>
        </w:rPr>
      </w:pPr>
      <w:r>
        <w:rPr>
          <w:rFonts w:cs="Times New Roman"/>
        </w:rPr>
        <w:t>Particle Size Distribution of Barite</w:t>
      </w:r>
    </w:p>
    <w:p w14:paraId="5B51B758" w14:textId="0363FD61" w:rsidR="0067277A" w:rsidRPr="00CD05D2" w:rsidRDefault="0067277A" w:rsidP="0067277A">
      <w:pPr>
        <w:pStyle w:val="Footer"/>
        <w:rPr>
          <w:rFonts w:cs="Times New Roman"/>
          <w:szCs w:val="24"/>
        </w:rPr>
      </w:pPr>
      <w:r w:rsidRPr="00CD05D2">
        <w:rPr>
          <w:rFonts w:cs="Times New Roman"/>
          <w:b/>
          <w:bCs/>
          <w:szCs w:val="24"/>
        </w:rPr>
        <w:t xml:space="preserve">Figure A1 </w:t>
      </w:r>
      <w:r w:rsidRPr="00CD05D2">
        <w:rPr>
          <w:rFonts w:cs="Times New Roman"/>
          <w:szCs w:val="24"/>
        </w:rPr>
        <w:t>shows</w:t>
      </w:r>
      <w:r w:rsidRPr="00CD05D2">
        <w:rPr>
          <w:rFonts w:cs="Times New Roman"/>
          <w:b/>
          <w:bCs/>
          <w:szCs w:val="24"/>
        </w:rPr>
        <w:t xml:space="preserve"> </w:t>
      </w:r>
      <w:r w:rsidRPr="00CD05D2">
        <w:rPr>
          <w:rFonts w:cs="Times New Roman"/>
          <w:szCs w:val="24"/>
        </w:rPr>
        <w:t>Barite Particle Size Distribution, which was used in the drilling fluids formulated in Table A1 and Table A2</w:t>
      </w:r>
      <w:r w:rsidR="000A1D97">
        <w:rPr>
          <w:rFonts w:cs="Times New Roman"/>
          <w:szCs w:val="24"/>
        </w:rPr>
        <w:t xml:space="preserve"> below.</w:t>
      </w:r>
    </w:p>
    <w:p w14:paraId="68F3A1E1" w14:textId="77777777" w:rsidR="0067277A" w:rsidRPr="00CD05D2" w:rsidRDefault="0067277A" w:rsidP="0067277A">
      <w:pPr>
        <w:pStyle w:val="Footer"/>
        <w:rPr>
          <w:rFonts w:cs="Times New Roman"/>
          <w:szCs w:val="24"/>
        </w:rPr>
      </w:pPr>
    </w:p>
    <w:p w14:paraId="659618B1" w14:textId="77777777" w:rsidR="0067277A" w:rsidRPr="00CD05D2" w:rsidRDefault="0067277A" w:rsidP="0067277A">
      <w:pPr>
        <w:pStyle w:val="BodyText2"/>
        <w:jc w:val="center"/>
        <w:rPr>
          <w:sz w:val="24"/>
          <w:szCs w:val="24"/>
        </w:rPr>
      </w:pPr>
      <w:r w:rsidRPr="00CD05D2">
        <w:rPr>
          <w:noProof/>
          <w:sz w:val="24"/>
          <w:szCs w:val="24"/>
          <w:lang w:eastAsia="nb-NO"/>
        </w:rPr>
        <w:drawing>
          <wp:inline distT="0" distB="0" distL="0" distR="0" wp14:anchorId="0095CF6D" wp14:editId="0E432C44">
            <wp:extent cx="4857750" cy="2924175"/>
            <wp:effectExtent l="0" t="0" r="0" b="9525"/>
            <wp:docPr id="118" name="Bilde 7" descr="뿷膒bbᡭ뿷吷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뿷膒bbᡭ뿷吷腲"/>
                    <pic:cNvPicPr>
                      <a:picLocks noChangeAspect="1" noChangeArrowheads="1"/>
                    </pic:cNvPicPr>
                  </pic:nvPicPr>
                  <pic:blipFill rotWithShape="1">
                    <a:blip r:embed="rId7" cstate="print">
                      <a:lum contrast="12000"/>
                    </a:blip>
                    <a:srcRect t="3155" r="2319"/>
                    <a:stretch/>
                  </pic:blipFill>
                  <pic:spPr bwMode="auto">
                    <a:xfrm>
                      <a:off x="0" y="0"/>
                      <a:ext cx="4857750" cy="2924175"/>
                    </a:xfrm>
                    <a:prstGeom prst="rect">
                      <a:avLst/>
                    </a:prstGeom>
                    <a:noFill/>
                    <a:ln w="9525" cap="flat" cmpd="sng" algn="ctr">
                      <a:no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A3E23FA" w14:textId="77777777" w:rsidR="0067277A" w:rsidRPr="00CD05D2" w:rsidRDefault="0067277A" w:rsidP="0067277A">
      <w:pPr>
        <w:pStyle w:val="Footer"/>
        <w:rPr>
          <w:rFonts w:cs="Times New Roman"/>
          <w:szCs w:val="24"/>
        </w:rPr>
      </w:pPr>
      <w:r w:rsidRPr="00CD05D2">
        <w:rPr>
          <w:rFonts w:cs="Times New Roman"/>
          <w:szCs w:val="24"/>
        </w:rPr>
        <w:t xml:space="preserve">                                            Figure A1: Particle size distribution of barite </w:t>
      </w:r>
    </w:p>
    <w:p w14:paraId="4CF71A51" w14:textId="77777777" w:rsidR="0067277A" w:rsidRPr="00CD05D2" w:rsidRDefault="0067277A" w:rsidP="0067277A">
      <w:pPr>
        <w:pStyle w:val="Heading4"/>
        <w:numPr>
          <w:ilvl w:val="0"/>
          <w:numId w:val="0"/>
        </w:numPr>
        <w:rPr>
          <w:rFonts w:cs="Times New Roman"/>
        </w:rPr>
      </w:pPr>
    </w:p>
    <w:p w14:paraId="3EB96FDD" w14:textId="77777777" w:rsidR="0067277A" w:rsidRPr="00CD05D2" w:rsidRDefault="0067277A" w:rsidP="0067277A">
      <w:pPr>
        <w:pStyle w:val="Heading4"/>
        <w:numPr>
          <w:ilvl w:val="0"/>
          <w:numId w:val="0"/>
        </w:numPr>
        <w:rPr>
          <w:rFonts w:cs="Times New Roman"/>
        </w:rPr>
      </w:pPr>
      <w:r w:rsidRPr="00CD05D2">
        <w:rPr>
          <w:rFonts w:cs="Times New Roman"/>
        </w:rPr>
        <w:t>Drilling fluid-1 for LCM and Swelling Evaluation</w:t>
      </w:r>
    </w:p>
    <w:p w14:paraId="6B055457" w14:textId="77777777" w:rsidR="0067277A" w:rsidRPr="00CD05D2" w:rsidRDefault="0067277A" w:rsidP="0067277A">
      <w:pPr>
        <w:jc w:val="both"/>
        <w:rPr>
          <w:rFonts w:cs="Times New Roman"/>
          <w:szCs w:val="24"/>
        </w:rPr>
      </w:pPr>
      <w:r w:rsidRPr="00CD05D2">
        <w:rPr>
          <w:rFonts w:cs="Times New Roman"/>
          <w:szCs w:val="24"/>
        </w:rPr>
        <w:t>For the LCM performance study, two 1.75sg oil-based mud systems with 80/20 and 60/40 oil-water ratio (OWR) mud types were prepared. The formulation is according to MI-SWACO, which is typically used in drilling operations as provided in Table A1.</w:t>
      </w:r>
    </w:p>
    <w:p w14:paraId="46816C64" w14:textId="77777777" w:rsidR="0067277A" w:rsidRPr="00CD05D2" w:rsidRDefault="0067277A" w:rsidP="0067277A">
      <w:pPr>
        <w:ind w:left="1440" w:firstLine="720"/>
        <w:rPr>
          <w:rFonts w:cs="Times New Roman"/>
          <w:noProof/>
          <w:szCs w:val="24"/>
          <w:lang w:eastAsia="nb-NO"/>
        </w:rPr>
      </w:pPr>
      <w:r w:rsidRPr="00063A9E">
        <w:rPr>
          <w:rFonts w:cs="Times New Roman"/>
          <w:noProof/>
          <w:szCs w:val="24"/>
          <w:lang w:eastAsia="nb-NO"/>
        </w:rPr>
        <w:t>Table A1</w:t>
      </w:r>
      <w:r w:rsidRPr="00CD05D2">
        <w:rPr>
          <w:rFonts w:cs="Times New Roman"/>
          <w:b/>
          <w:bCs/>
          <w:noProof/>
          <w:szCs w:val="24"/>
          <w:lang w:eastAsia="nb-NO"/>
        </w:rPr>
        <w:t>:</w:t>
      </w:r>
      <w:r w:rsidRPr="00CD05D2">
        <w:rPr>
          <w:rFonts w:cs="Times New Roman"/>
          <w:noProof/>
          <w:szCs w:val="24"/>
          <w:lang w:eastAsia="nb-NO"/>
        </w:rPr>
        <w:t xml:space="preserve"> Drilling fluid formulation.</w:t>
      </w:r>
    </w:p>
    <w:tbl>
      <w:tblPr>
        <w:tblW w:w="5807" w:type="dxa"/>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2"/>
        <w:gridCol w:w="1458"/>
        <w:gridCol w:w="1417"/>
      </w:tblGrid>
      <w:tr w:rsidR="0067277A" w:rsidRPr="00CD05D2" w14:paraId="509C7753" w14:textId="77777777" w:rsidTr="00265D4F">
        <w:trPr>
          <w:trHeight w:val="167"/>
          <w:jc w:val="center"/>
        </w:trPr>
        <w:tc>
          <w:tcPr>
            <w:tcW w:w="2932" w:type="dxa"/>
            <w:shd w:val="clear" w:color="auto" w:fill="EDEDED" w:themeFill="accent3" w:themeFillTint="33"/>
            <w:noWrap/>
            <w:tcMar>
              <w:top w:w="0" w:type="dxa"/>
              <w:left w:w="70" w:type="dxa"/>
              <w:bottom w:w="0" w:type="dxa"/>
              <w:right w:w="70" w:type="dxa"/>
            </w:tcMar>
            <w:vAlign w:val="bottom"/>
            <w:hideMark/>
          </w:tcPr>
          <w:p w14:paraId="6E28099F" w14:textId="77777777" w:rsidR="0067277A" w:rsidRPr="00CD05D2" w:rsidRDefault="0067277A" w:rsidP="00265D4F">
            <w:pPr>
              <w:pStyle w:val="NoSpacing"/>
              <w:jc w:val="center"/>
              <w:rPr>
                <w:rFonts w:cs="Times New Roman"/>
                <w:b/>
                <w:bCs/>
                <w:szCs w:val="24"/>
              </w:rPr>
            </w:pPr>
            <w:bookmarkStart w:id="0" w:name="_Hlk112826583"/>
            <w:r w:rsidRPr="00CD05D2">
              <w:rPr>
                <w:rFonts w:cs="Times New Roman"/>
                <w:b/>
                <w:bCs/>
                <w:color w:val="000000"/>
                <w:szCs w:val="24"/>
                <w:lang w:eastAsia="nb-NO"/>
              </w:rPr>
              <w:t>Chemicals f</w:t>
            </w:r>
            <w:r w:rsidRPr="00CD05D2">
              <w:rPr>
                <w:rFonts w:cs="Times New Roman"/>
                <w:b/>
                <w:bCs/>
                <w:szCs w:val="24"/>
              </w:rPr>
              <w:t>unction</w:t>
            </w:r>
          </w:p>
        </w:tc>
        <w:tc>
          <w:tcPr>
            <w:tcW w:w="1458" w:type="dxa"/>
            <w:shd w:val="clear" w:color="auto" w:fill="EDEDED" w:themeFill="accent3" w:themeFillTint="33"/>
            <w:noWrap/>
            <w:tcMar>
              <w:top w:w="0" w:type="dxa"/>
              <w:left w:w="70" w:type="dxa"/>
              <w:bottom w:w="0" w:type="dxa"/>
              <w:right w:w="70" w:type="dxa"/>
            </w:tcMar>
            <w:vAlign w:val="bottom"/>
            <w:hideMark/>
          </w:tcPr>
          <w:p w14:paraId="11061C0A" w14:textId="77777777" w:rsidR="0067277A" w:rsidRPr="00CD05D2" w:rsidRDefault="0067277A" w:rsidP="00265D4F">
            <w:pPr>
              <w:pStyle w:val="NoSpacing"/>
              <w:jc w:val="center"/>
              <w:rPr>
                <w:rFonts w:cs="Times New Roman"/>
                <w:b/>
                <w:bCs/>
                <w:szCs w:val="24"/>
              </w:rPr>
            </w:pPr>
            <w:r w:rsidRPr="00CD05D2">
              <w:rPr>
                <w:rFonts w:cs="Times New Roman"/>
                <w:b/>
                <w:bCs/>
                <w:szCs w:val="24"/>
              </w:rPr>
              <w:t>60/40 OBM</w:t>
            </w:r>
          </w:p>
        </w:tc>
        <w:tc>
          <w:tcPr>
            <w:tcW w:w="1417" w:type="dxa"/>
            <w:shd w:val="clear" w:color="auto" w:fill="EDEDED" w:themeFill="accent3" w:themeFillTint="33"/>
            <w:vAlign w:val="bottom"/>
          </w:tcPr>
          <w:p w14:paraId="326E681A" w14:textId="77777777" w:rsidR="0067277A" w:rsidRPr="00CD05D2" w:rsidRDefault="0067277A" w:rsidP="00265D4F">
            <w:pPr>
              <w:pStyle w:val="NoSpacing"/>
              <w:jc w:val="center"/>
              <w:rPr>
                <w:rFonts w:cs="Times New Roman"/>
                <w:b/>
                <w:bCs/>
                <w:szCs w:val="24"/>
              </w:rPr>
            </w:pPr>
            <w:r w:rsidRPr="00CD05D2">
              <w:rPr>
                <w:rFonts w:cs="Times New Roman"/>
                <w:b/>
                <w:bCs/>
                <w:szCs w:val="24"/>
              </w:rPr>
              <w:t>80/20 OBM</w:t>
            </w:r>
          </w:p>
        </w:tc>
      </w:tr>
      <w:tr w:rsidR="0067277A" w:rsidRPr="00CD05D2" w14:paraId="4C59EEB3" w14:textId="77777777" w:rsidTr="00265D4F">
        <w:trPr>
          <w:trHeight w:val="167"/>
          <w:jc w:val="center"/>
        </w:trPr>
        <w:tc>
          <w:tcPr>
            <w:tcW w:w="2932" w:type="dxa"/>
            <w:noWrap/>
            <w:tcMar>
              <w:top w:w="0" w:type="dxa"/>
              <w:left w:w="70" w:type="dxa"/>
              <w:bottom w:w="0" w:type="dxa"/>
              <w:right w:w="70" w:type="dxa"/>
            </w:tcMar>
            <w:vAlign w:val="bottom"/>
            <w:hideMark/>
          </w:tcPr>
          <w:p w14:paraId="1D9A88BD" w14:textId="77777777" w:rsidR="0067277A" w:rsidRPr="00CD05D2" w:rsidRDefault="0067277A" w:rsidP="00265D4F">
            <w:pPr>
              <w:pStyle w:val="NoSpacing"/>
              <w:jc w:val="center"/>
              <w:rPr>
                <w:rFonts w:cs="Times New Roman"/>
                <w:szCs w:val="24"/>
              </w:rPr>
            </w:pPr>
            <w:r w:rsidRPr="00CD05D2">
              <w:rPr>
                <w:rFonts w:cs="Times New Roman"/>
                <w:szCs w:val="24"/>
              </w:rPr>
              <w:t>Base Fluid</w:t>
            </w:r>
          </w:p>
        </w:tc>
        <w:tc>
          <w:tcPr>
            <w:tcW w:w="1458" w:type="dxa"/>
            <w:noWrap/>
            <w:tcMar>
              <w:top w:w="0" w:type="dxa"/>
              <w:left w:w="70" w:type="dxa"/>
              <w:bottom w:w="0" w:type="dxa"/>
              <w:right w:w="70" w:type="dxa"/>
            </w:tcMar>
            <w:vAlign w:val="bottom"/>
            <w:hideMark/>
          </w:tcPr>
          <w:p w14:paraId="4C7C8F7B" w14:textId="77777777" w:rsidR="0067277A" w:rsidRPr="00CD05D2" w:rsidRDefault="0067277A" w:rsidP="00265D4F">
            <w:pPr>
              <w:pStyle w:val="NoSpacing"/>
              <w:jc w:val="center"/>
              <w:rPr>
                <w:rFonts w:cs="Times New Roman"/>
                <w:szCs w:val="24"/>
              </w:rPr>
            </w:pPr>
            <w:r w:rsidRPr="00CD05D2">
              <w:rPr>
                <w:rFonts w:cs="Times New Roman"/>
                <w:szCs w:val="24"/>
              </w:rPr>
              <w:t>321</w:t>
            </w:r>
          </w:p>
        </w:tc>
        <w:tc>
          <w:tcPr>
            <w:tcW w:w="1417" w:type="dxa"/>
            <w:vAlign w:val="bottom"/>
          </w:tcPr>
          <w:p w14:paraId="61992CD6" w14:textId="77777777" w:rsidR="0067277A" w:rsidRPr="00CD05D2" w:rsidRDefault="0067277A" w:rsidP="00265D4F">
            <w:pPr>
              <w:pStyle w:val="NoSpacing"/>
              <w:jc w:val="center"/>
              <w:rPr>
                <w:rFonts w:cs="Times New Roman"/>
                <w:szCs w:val="24"/>
              </w:rPr>
            </w:pPr>
            <w:r w:rsidRPr="00CD05D2">
              <w:rPr>
                <w:rFonts w:cs="Times New Roman"/>
                <w:szCs w:val="24"/>
              </w:rPr>
              <w:t>440</w:t>
            </w:r>
          </w:p>
        </w:tc>
      </w:tr>
      <w:tr w:rsidR="0067277A" w:rsidRPr="00CD05D2" w14:paraId="4CB73E66" w14:textId="77777777" w:rsidTr="00265D4F">
        <w:trPr>
          <w:trHeight w:val="167"/>
          <w:jc w:val="center"/>
        </w:trPr>
        <w:tc>
          <w:tcPr>
            <w:tcW w:w="2932" w:type="dxa"/>
            <w:noWrap/>
            <w:tcMar>
              <w:top w:w="0" w:type="dxa"/>
              <w:left w:w="70" w:type="dxa"/>
              <w:bottom w:w="0" w:type="dxa"/>
              <w:right w:w="70" w:type="dxa"/>
            </w:tcMar>
            <w:vAlign w:val="bottom"/>
            <w:hideMark/>
          </w:tcPr>
          <w:p w14:paraId="31272484" w14:textId="77777777" w:rsidR="0067277A" w:rsidRPr="00CD05D2" w:rsidRDefault="0067277A" w:rsidP="00265D4F">
            <w:pPr>
              <w:pStyle w:val="NoSpacing"/>
              <w:jc w:val="center"/>
              <w:rPr>
                <w:rFonts w:cs="Times New Roman"/>
                <w:szCs w:val="24"/>
              </w:rPr>
            </w:pPr>
            <w:r w:rsidRPr="00CD05D2">
              <w:rPr>
                <w:rFonts w:cs="Times New Roman"/>
                <w:szCs w:val="24"/>
              </w:rPr>
              <w:t>Emulsifier</w:t>
            </w:r>
          </w:p>
        </w:tc>
        <w:tc>
          <w:tcPr>
            <w:tcW w:w="1458" w:type="dxa"/>
            <w:noWrap/>
            <w:tcMar>
              <w:top w:w="0" w:type="dxa"/>
              <w:left w:w="70" w:type="dxa"/>
              <w:bottom w:w="0" w:type="dxa"/>
              <w:right w:w="70" w:type="dxa"/>
            </w:tcMar>
            <w:vAlign w:val="bottom"/>
            <w:hideMark/>
          </w:tcPr>
          <w:p w14:paraId="45B0AD7A" w14:textId="77777777" w:rsidR="0067277A" w:rsidRPr="00CD05D2" w:rsidRDefault="0067277A" w:rsidP="00265D4F">
            <w:pPr>
              <w:pStyle w:val="NoSpacing"/>
              <w:jc w:val="center"/>
              <w:rPr>
                <w:rFonts w:cs="Times New Roman"/>
                <w:szCs w:val="24"/>
              </w:rPr>
            </w:pPr>
            <w:r w:rsidRPr="00CD05D2">
              <w:rPr>
                <w:rFonts w:cs="Times New Roman"/>
                <w:szCs w:val="24"/>
              </w:rPr>
              <w:t>30</w:t>
            </w:r>
          </w:p>
        </w:tc>
        <w:tc>
          <w:tcPr>
            <w:tcW w:w="1417" w:type="dxa"/>
            <w:vAlign w:val="bottom"/>
          </w:tcPr>
          <w:p w14:paraId="25FBECC6" w14:textId="77777777" w:rsidR="0067277A" w:rsidRPr="00CD05D2" w:rsidRDefault="0067277A" w:rsidP="00265D4F">
            <w:pPr>
              <w:pStyle w:val="NoSpacing"/>
              <w:jc w:val="center"/>
              <w:rPr>
                <w:rFonts w:cs="Times New Roman"/>
                <w:szCs w:val="24"/>
              </w:rPr>
            </w:pPr>
            <w:r w:rsidRPr="00CD05D2">
              <w:rPr>
                <w:rFonts w:cs="Times New Roman"/>
                <w:szCs w:val="24"/>
              </w:rPr>
              <w:t>20</w:t>
            </w:r>
          </w:p>
        </w:tc>
      </w:tr>
      <w:tr w:rsidR="0067277A" w:rsidRPr="00CD05D2" w14:paraId="664167EC" w14:textId="77777777" w:rsidTr="00265D4F">
        <w:trPr>
          <w:trHeight w:val="167"/>
          <w:jc w:val="center"/>
        </w:trPr>
        <w:tc>
          <w:tcPr>
            <w:tcW w:w="2932" w:type="dxa"/>
            <w:noWrap/>
            <w:tcMar>
              <w:top w:w="0" w:type="dxa"/>
              <w:left w:w="70" w:type="dxa"/>
              <w:bottom w:w="0" w:type="dxa"/>
              <w:right w:w="70" w:type="dxa"/>
            </w:tcMar>
            <w:vAlign w:val="bottom"/>
            <w:hideMark/>
          </w:tcPr>
          <w:p w14:paraId="2CE19A0F" w14:textId="77777777" w:rsidR="0067277A" w:rsidRPr="00CD05D2" w:rsidRDefault="0067277A" w:rsidP="00265D4F">
            <w:pPr>
              <w:pStyle w:val="NoSpacing"/>
              <w:jc w:val="center"/>
              <w:rPr>
                <w:rFonts w:cs="Times New Roman"/>
                <w:szCs w:val="24"/>
              </w:rPr>
            </w:pPr>
            <w:r w:rsidRPr="00CD05D2">
              <w:rPr>
                <w:rFonts w:cs="Times New Roman"/>
                <w:szCs w:val="24"/>
              </w:rPr>
              <w:t>Wetting agent</w:t>
            </w:r>
          </w:p>
        </w:tc>
        <w:tc>
          <w:tcPr>
            <w:tcW w:w="1458" w:type="dxa"/>
            <w:noWrap/>
            <w:tcMar>
              <w:top w:w="0" w:type="dxa"/>
              <w:left w:w="70" w:type="dxa"/>
              <w:bottom w:w="0" w:type="dxa"/>
              <w:right w:w="70" w:type="dxa"/>
            </w:tcMar>
            <w:vAlign w:val="bottom"/>
            <w:hideMark/>
          </w:tcPr>
          <w:p w14:paraId="65E00478" w14:textId="77777777" w:rsidR="0067277A" w:rsidRPr="00CD05D2" w:rsidRDefault="0067277A" w:rsidP="00265D4F">
            <w:pPr>
              <w:pStyle w:val="NoSpacing"/>
              <w:jc w:val="center"/>
              <w:rPr>
                <w:rFonts w:cs="Times New Roman"/>
                <w:szCs w:val="24"/>
              </w:rPr>
            </w:pPr>
            <w:r w:rsidRPr="00CD05D2">
              <w:rPr>
                <w:rFonts w:cs="Times New Roman"/>
                <w:szCs w:val="24"/>
              </w:rPr>
              <w:t>8</w:t>
            </w:r>
          </w:p>
        </w:tc>
        <w:tc>
          <w:tcPr>
            <w:tcW w:w="1417" w:type="dxa"/>
            <w:vAlign w:val="bottom"/>
          </w:tcPr>
          <w:p w14:paraId="5E185352" w14:textId="77777777" w:rsidR="0067277A" w:rsidRPr="00CD05D2" w:rsidRDefault="0067277A" w:rsidP="00265D4F">
            <w:pPr>
              <w:pStyle w:val="NoSpacing"/>
              <w:jc w:val="center"/>
              <w:rPr>
                <w:rFonts w:cs="Times New Roman"/>
                <w:szCs w:val="24"/>
              </w:rPr>
            </w:pPr>
            <w:r w:rsidRPr="00CD05D2">
              <w:rPr>
                <w:rFonts w:cs="Times New Roman"/>
                <w:szCs w:val="24"/>
              </w:rPr>
              <w:t>8</w:t>
            </w:r>
          </w:p>
        </w:tc>
      </w:tr>
      <w:tr w:rsidR="0067277A" w:rsidRPr="00CD05D2" w14:paraId="3CF1F46B" w14:textId="77777777" w:rsidTr="00265D4F">
        <w:trPr>
          <w:trHeight w:val="167"/>
          <w:jc w:val="center"/>
        </w:trPr>
        <w:tc>
          <w:tcPr>
            <w:tcW w:w="2932" w:type="dxa"/>
            <w:noWrap/>
            <w:tcMar>
              <w:top w:w="0" w:type="dxa"/>
              <w:left w:w="70" w:type="dxa"/>
              <w:bottom w:w="0" w:type="dxa"/>
              <w:right w:w="70" w:type="dxa"/>
            </w:tcMar>
            <w:vAlign w:val="bottom"/>
            <w:hideMark/>
          </w:tcPr>
          <w:p w14:paraId="763CC197" w14:textId="77777777" w:rsidR="0067277A" w:rsidRPr="00CD05D2" w:rsidRDefault="0067277A" w:rsidP="00265D4F">
            <w:pPr>
              <w:pStyle w:val="NoSpacing"/>
              <w:jc w:val="center"/>
              <w:rPr>
                <w:rFonts w:cs="Times New Roman"/>
                <w:szCs w:val="24"/>
              </w:rPr>
            </w:pPr>
            <w:r w:rsidRPr="00CD05D2">
              <w:rPr>
                <w:rFonts w:cs="Times New Roman"/>
                <w:szCs w:val="24"/>
              </w:rPr>
              <w:t>pH modifier</w:t>
            </w:r>
          </w:p>
        </w:tc>
        <w:tc>
          <w:tcPr>
            <w:tcW w:w="1458" w:type="dxa"/>
            <w:noWrap/>
            <w:tcMar>
              <w:top w:w="0" w:type="dxa"/>
              <w:left w:w="70" w:type="dxa"/>
              <w:bottom w:w="0" w:type="dxa"/>
              <w:right w:w="70" w:type="dxa"/>
            </w:tcMar>
            <w:vAlign w:val="bottom"/>
            <w:hideMark/>
          </w:tcPr>
          <w:p w14:paraId="13DBBD89" w14:textId="77777777" w:rsidR="0067277A" w:rsidRPr="00CD05D2" w:rsidRDefault="0067277A" w:rsidP="00265D4F">
            <w:pPr>
              <w:pStyle w:val="NoSpacing"/>
              <w:jc w:val="center"/>
              <w:rPr>
                <w:rFonts w:cs="Times New Roman"/>
                <w:szCs w:val="24"/>
              </w:rPr>
            </w:pPr>
            <w:r w:rsidRPr="00CD05D2">
              <w:rPr>
                <w:rFonts w:cs="Times New Roman"/>
                <w:szCs w:val="24"/>
              </w:rPr>
              <w:t>25</w:t>
            </w:r>
          </w:p>
        </w:tc>
        <w:tc>
          <w:tcPr>
            <w:tcW w:w="1417" w:type="dxa"/>
            <w:vAlign w:val="bottom"/>
          </w:tcPr>
          <w:p w14:paraId="7002F806" w14:textId="77777777" w:rsidR="0067277A" w:rsidRPr="00CD05D2" w:rsidRDefault="0067277A" w:rsidP="00265D4F">
            <w:pPr>
              <w:pStyle w:val="NoSpacing"/>
              <w:jc w:val="center"/>
              <w:rPr>
                <w:rFonts w:cs="Times New Roman"/>
                <w:szCs w:val="24"/>
              </w:rPr>
            </w:pPr>
            <w:r w:rsidRPr="00CD05D2">
              <w:rPr>
                <w:rFonts w:cs="Times New Roman"/>
                <w:szCs w:val="24"/>
              </w:rPr>
              <w:t>20</w:t>
            </w:r>
          </w:p>
        </w:tc>
      </w:tr>
      <w:tr w:rsidR="0067277A" w:rsidRPr="00CD05D2" w14:paraId="0187270A" w14:textId="77777777" w:rsidTr="00265D4F">
        <w:trPr>
          <w:trHeight w:val="167"/>
          <w:jc w:val="center"/>
        </w:trPr>
        <w:tc>
          <w:tcPr>
            <w:tcW w:w="2932" w:type="dxa"/>
            <w:noWrap/>
            <w:tcMar>
              <w:top w:w="0" w:type="dxa"/>
              <w:left w:w="70" w:type="dxa"/>
              <w:bottom w:w="0" w:type="dxa"/>
              <w:right w:w="70" w:type="dxa"/>
            </w:tcMar>
            <w:vAlign w:val="bottom"/>
            <w:hideMark/>
          </w:tcPr>
          <w:p w14:paraId="293A78A0" w14:textId="77777777" w:rsidR="0067277A" w:rsidRPr="00CD05D2" w:rsidRDefault="0067277A" w:rsidP="00265D4F">
            <w:pPr>
              <w:pStyle w:val="NoSpacing"/>
              <w:jc w:val="center"/>
              <w:rPr>
                <w:rFonts w:cs="Times New Roman"/>
                <w:szCs w:val="24"/>
              </w:rPr>
            </w:pPr>
            <w:r w:rsidRPr="00CD05D2">
              <w:rPr>
                <w:rFonts w:cs="Times New Roman"/>
                <w:szCs w:val="24"/>
              </w:rPr>
              <w:t>Freshwater</w:t>
            </w:r>
          </w:p>
        </w:tc>
        <w:tc>
          <w:tcPr>
            <w:tcW w:w="1458" w:type="dxa"/>
            <w:noWrap/>
            <w:tcMar>
              <w:top w:w="0" w:type="dxa"/>
              <w:left w:w="70" w:type="dxa"/>
              <w:bottom w:w="0" w:type="dxa"/>
              <w:right w:w="70" w:type="dxa"/>
            </w:tcMar>
            <w:vAlign w:val="bottom"/>
            <w:hideMark/>
          </w:tcPr>
          <w:p w14:paraId="43325E1A" w14:textId="77777777" w:rsidR="0067277A" w:rsidRPr="00CD05D2" w:rsidRDefault="0067277A" w:rsidP="00265D4F">
            <w:pPr>
              <w:pStyle w:val="NoSpacing"/>
              <w:jc w:val="center"/>
              <w:rPr>
                <w:rFonts w:cs="Times New Roman"/>
                <w:szCs w:val="24"/>
              </w:rPr>
            </w:pPr>
            <w:r w:rsidRPr="00CD05D2">
              <w:rPr>
                <w:rFonts w:cs="Times New Roman"/>
                <w:szCs w:val="24"/>
              </w:rPr>
              <w:t>279</w:t>
            </w:r>
          </w:p>
        </w:tc>
        <w:tc>
          <w:tcPr>
            <w:tcW w:w="1417" w:type="dxa"/>
            <w:vAlign w:val="bottom"/>
          </w:tcPr>
          <w:p w14:paraId="7E50EC53" w14:textId="77777777" w:rsidR="0067277A" w:rsidRPr="00CD05D2" w:rsidRDefault="0067277A" w:rsidP="00265D4F">
            <w:pPr>
              <w:pStyle w:val="NoSpacing"/>
              <w:jc w:val="center"/>
              <w:rPr>
                <w:rFonts w:cs="Times New Roman"/>
                <w:szCs w:val="24"/>
              </w:rPr>
            </w:pPr>
            <w:r w:rsidRPr="00CD05D2">
              <w:rPr>
                <w:rFonts w:cs="Times New Roman"/>
                <w:szCs w:val="24"/>
              </w:rPr>
              <w:t>137</w:t>
            </w:r>
          </w:p>
        </w:tc>
      </w:tr>
      <w:tr w:rsidR="0067277A" w:rsidRPr="00CD05D2" w14:paraId="2E843302" w14:textId="77777777" w:rsidTr="00265D4F">
        <w:trPr>
          <w:trHeight w:val="167"/>
          <w:jc w:val="center"/>
        </w:trPr>
        <w:tc>
          <w:tcPr>
            <w:tcW w:w="2932" w:type="dxa"/>
            <w:noWrap/>
            <w:tcMar>
              <w:top w:w="0" w:type="dxa"/>
              <w:left w:w="70" w:type="dxa"/>
              <w:bottom w:w="0" w:type="dxa"/>
              <w:right w:w="70" w:type="dxa"/>
            </w:tcMar>
            <w:vAlign w:val="bottom"/>
            <w:hideMark/>
          </w:tcPr>
          <w:p w14:paraId="38F159EA" w14:textId="77777777" w:rsidR="0067277A" w:rsidRPr="00CD05D2" w:rsidRDefault="0067277A" w:rsidP="00265D4F">
            <w:pPr>
              <w:pStyle w:val="NoSpacing"/>
              <w:jc w:val="center"/>
              <w:rPr>
                <w:rFonts w:cs="Times New Roman"/>
                <w:szCs w:val="24"/>
              </w:rPr>
            </w:pPr>
            <w:r w:rsidRPr="00CD05D2">
              <w:rPr>
                <w:rFonts w:cs="Times New Roman"/>
                <w:szCs w:val="24"/>
              </w:rPr>
              <w:t>Osmotic control</w:t>
            </w:r>
          </w:p>
        </w:tc>
        <w:tc>
          <w:tcPr>
            <w:tcW w:w="1458" w:type="dxa"/>
            <w:noWrap/>
            <w:tcMar>
              <w:top w:w="0" w:type="dxa"/>
              <w:left w:w="70" w:type="dxa"/>
              <w:bottom w:w="0" w:type="dxa"/>
              <w:right w:w="70" w:type="dxa"/>
            </w:tcMar>
            <w:vAlign w:val="bottom"/>
            <w:hideMark/>
          </w:tcPr>
          <w:p w14:paraId="1E133117" w14:textId="77777777" w:rsidR="0067277A" w:rsidRPr="00CD05D2" w:rsidRDefault="0067277A" w:rsidP="00265D4F">
            <w:pPr>
              <w:pStyle w:val="NoSpacing"/>
              <w:jc w:val="center"/>
              <w:rPr>
                <w:rFonts w:cs="Times New Roman"/>
                <w:szCs w:val="24"/>
              </w:rPr>
            </w:pPr>
            <w:r w:rsidRPr="00CD05D2">
              <w:rPr>
                <w:rFonts w:cs="Times New Roman"/>
                <w:szCs w:val="24"/>
              </w:rPr>
              <w:t>75</w:t>
            </w:r>
          </w:p>
        </w:tc>
        <w:tc>
          <w:tcPr>
            <w:tcW w:w="1417" w:type="dxa"/>
            <w:vAlign w:val="bottom"/>
          </w:tcPr>
          <w:p w14:paraId="614EFE72" w14:textId="77777777" w:rsidR="0067277A" w:rsidRPr="00CD05D2" w:rsidRDefault="0067277A" w:rsidP="00265D4F">
            <w:pPr>
              <w:pStyle w:val="NoSpacing"/>
              <w:jc w:val="center"/>
              <w:rPr>
                <w:rFonts w:cs="Times New Roman"/>
                <w:szCs w:val="24"/>
              </w:rPr>
            </w:pPr>
            <w:r w:rsidRPr="00CD05D2">
              <w:rPr>
                <w:rFonts w:cs="Times New Roman"/>
                <w:szCs w:val="24"/>
              </w:rPr>
              <w:t>37</w:t>
            </w:r>
          </w:p>
        </w:tc>
      </w:tr>
      <w:tr w:rsidR="0067277A" w:rsidRPr="00CD05D2" w14:paraId="6577B2B1" w14:textId="77777777" w:rsidTr="00265D4F">
        <w:trPr>
          <w:trHeight w:val="167"/>
          <w:jc w:val="center"/>
        </w:trPr>
        <w:tc>
          <w:tcPr>
            <w:tcW w:w="2932" w:type="dxa"/>
            <w:noWrap/>
            <w:tcMar>
              <w:top w:w="0" w:type="dxa"/>
              <w:left w:w="70" w:type="dxa"/>
              <w:bottom w:w="0" w:type="dxa"/>
              <w:right w:w="70" w:type="dxa"/>
            </w:tcMar>
            <w:vAlign w:val="bottom"/>
            <w:hideMark/>
          </w:tcPr>
          <w:p w14:paraId="20A5942B" w14:textId="77777777" w:rsidR="0067277A" w:rsidRPr="00CD05D2" w:rsidRDefault="0067277A" w:rsidP="00265D4F">
            <w:pPr>
              <w:pStyle w:val="NoSpacing"/>
              <w:jc w:val="center"/>
              <w:rPr>
                <w:rFonts w:cs="Times New Roman"/>
                <w:szCs w:val="24"/>
              </w:rPr>
            </w:pPr>
            <w:r w:rsidRPr="00CD05D2">
              <w:rPr>
                <w:rFonts w:cs="Times New Roman"/>
                <w:szCs w:val="24"/>
              </w:rPr>
              <w:t>Fluid loss control</w:t>
            </w:r>
          </w:p>
        </w:tc>
        <w:tc>
          <w:tcPr>
            <w:tcW w:w="1458" w:type="dxa"/>
            <w:noWrap/>
            <w:tcMar>
              <w:top w:w="0" w:type="dxa"/>
              <w:left w:w="70" w:type="dxa"/>
              <w:bottom w:w="0" w:type="dxa"/>
              <w:right w:w="70" w:type="dxa"/>
            </w:tcMar>
            <w:vAlign w:val="bottom"/>
            <w:hideMark/>
          </w:tcPr>
          <w:p w14:paraId="0B31F131" w14:textId="77777777" w:rsidR="0067277A" w:rsidRPr="00CD05D2" w:rsidRDefault="0067277A" w:rsidP="00265D4F">
            <w:pPr>
              <w:pStyle w:val="NoSpacing"/>
              <w:jc w:val="center"/>
              <w:rPr>
                <w:rFonts w:cs="Times New Roman"/>
                <w:szCs w:val="24"/>
              </w:rPr>
            </w:pPr>
            <w:r w:rsidRPr="00CD05D2">
              <w:rPr>
                <w:rFonts w:cs="Times New Roman"/>
                <w:szCs w:val="24"/>
              </w:rPr>
              <w:t>10</w:t>
            </w:r>
          </w:p>
        </w:tc>
        <w:tc>
          <w:tcPr>
            <w:tcW w:w="1417" w:type="dxa"/>
            <w:vAlign w:val="bottom"/>
          </w:tcPr>
          <w:p w14:paraId="15FEA7CA" w14:textId="77777777" w:rsidR="0067277A" w:rsidRPr="00CD05D2" w:rsidRDefault="0067277A" w:rsidP="00265D4F">
            <w:pPr>
              <w:pStyle w:val="NoSpacing"/>
              <w:jc w:val="center"/>
              <w:rPr>
                <w:rFonts w:cs="Times New Roman"/>
                <w:szCs w:val="24"/>
              </w:rPr>
            </w:pPr>
            <w:r w:rsidRPr="00CD05D2">
              <w:rPr>
                <w:rFonts w:cs="Times New Roman"/>
                <w:szCs w:val="24"/>
              </w:rPr>
              <w:t>10</w:t>
            </w:r>
          </w:p>
        </w:tc>
      </w:tr>
      <w:tr w:rsidR="0067277A" w:rsidRPr="00CD05D2" w14:paraId="43D52C5E" w14:textId="77777777" w:rsidTr="00265D4F">
        <w:trPr>
          <w:trHeight w:val="167"/>
          <w:jc w:val="center"/>
        </w:trPr>
        <w:tc>
          <w:tcPr>
            <w:tcW w:w="2932" w:type="dxa"/>
            <w:noWrap/>
            <w:tcMar>
              <w:top w:w="0" w:type="dxa"/>
              <w:left w:w="70" w:type="dxa"/>
              <w:bottom w:w="0" w:type="dxa"/>
              <w:right w:w="70" w:type="dxa"/>
            </w:tcMar>
            <w:vAlign w:val="bottom"/>
            <w:hideMark/>
          </w:tcPr>
          <w:p w14:paraId="3C0F26FD" w14:textId="77777777" w:rsidR="0067277A" w:rsidRPr="00CD05D2" w:rsidRDefault="0067277A" w:rsidP="00265D4F">
            <w:pPr>
              <w:pStyle w:val="NoSpacing"/>
              <w:jc w:val="center"/>
              <w:rPr>
                <w:rFonts w:cs="Times New Roman"/>
                <w:szCs w:val="24"/>
              </w:rPr>
            </w:pPr>
            <w:proofErr w:type="spellStart"/>
            <w:r w:rsidRPr="00CD05D2">
              <w:rPr>
                <w:rFonts w:cs="Times New Roman"/>
                <w:szCs w:val="24"/>
              </w:rPr>
              <w:t>Viscosifier</w:t>
            </w:r>
            <w:proofErr w:type="spellEnd"/>
          </w:p>
        </w:tc>
        <w:tc>
          <w:tcPr>
            <w:tcW w:w="1458" w:type="dxa"/>
            <w:noWrap/>
            <w:tcMar>
              <w:top w:w="0" w:type="dxa"/>
              <w:left w:w="70" w:type="dxa"/>
              <w:bottom w:w="0" w:type="dxa"/>
              <w:right w:w="70" w:type="dxa"/>
            </w:tcMar>
            <w:vAlign w:val="bottom"/>
            <w:hideMark/>
          </w:tcPr>
          <w:p w14:paraId="2C5786F6" w14:textId="77777777" w:rsidR="0067277A" w:rsidRPr="00CD05D2" w:rsidRDefault="0067277A" w:rsidP="00265D4F">
            <w:pPr>
              <w:pStyle w:val="NoSpacing"/>
              <w:jc w:val="center"/>
              <w:rPr>
                <w:rFonts w:cs="Times New Roman"/>
                <w:szCs w:val="24"/>
              </w:rPr>
            </w:pPr>
            <w:r w:rsidRPr="00CD05D2">
              <w:rPr>
                <w:rFonts w:cs="Times New Roman"/>
                <w:szCs w:val="24"/>
              </w:rPr>
              <w:t>4</w:t>
            </w:r>
          </w:p>
        </w:tc>
        <w:tc>
          <w:tcPr>
            <w:tcW w:w="1417" w:type="dxa"/>
            <w:vAlign w:val="bottom"/>
          </w:tcPr>
          <w:p w14:paraId="34E1570C" w14:textId="77777777" w:rsidR="0067277A" w:rsidRPr="00CD05D2" w:rsidRDefault="0067277A" w:rsidP="00265D4F">
            <w:pPr>
              <w:pStyle w:val="NoSpacing"/>
              <w:jc w:val="center"/>
              <w:rPr>
                <w:rFonts w:cs="Times New Roman"/>
                <w:szCs w:val="24"/>
              </w:rPr>
            </w:pPr>
            <w:r w:rsidRPr="00CD05D2">
              <w:rPr>
                <w:rFonts w:cs="Times New Roman"/>
                <w:szCs w:val="24"/>
              </w:rPr>
              <w:t>9</w:t>
            </w:r>
          </w:p>
        </w:tc>
      </w:tr>
      <w:tr w:rsidR="0067277A" w:rsidRPr="00CD05D2" w14:paraId="23E02DE8" w14:textId="77777777" w:rsidTr="00265D4F">
        <w:trPr>
          <w:trHeight w:val="167"/>
          <w:jc w:val="center"/>
        </w:trPr>
        <w:tc>
          <w:tcPr>
            <w:tcW w:w="2932" w:type="dxa"/>
            <w:noWrap/>
            <w:tcMar>
              <w:top w:w="0" w:type="dxa"/>
              <w:left w:w="70" w:type="dxa"/>
              <w:bottom w:w="0" w:type="dxa"/>
              <w:right w:w="70" w:type="dxa"/>
            </w:tcMar>
            <w:vAlign w:val="bottom"/>
            <w:hideMark/>
          </w:tcPr>
          <w:p w14:paraId="6413F726" w14:textId="77777777" w:rsidR="0067277A" w:rsidRPr="00CD05D2" w:rsidRDefault="0067277A" w:rsidP="00265D4F">
            <w:pPr>
              <w:pStyle w:val="NoSpacing"/>
              <w:jc w:val="center"/>
              <w:rPr>
                <w:rFonts w:cs="Times New Roman"/>
                <w:szCs w:val="24"/>
              </w:rPr>
            </w:pPr>
            <w:r w:rsidRPr="00CD05D2">
              <w:rPr>
                <w:rFonts w:cs="Times New Roman"/>
                <w:szCs w:val="24"/>
              </w:rPr>
              <w:t>Weighting material</w:t>
            </w:r>
          </w:p>
        </w:tc>
        <w:tc>
          <w:tcPr>
            <w:tcW w:w="1458" w:type="dxa"/>
            <w:noWrap/>
            <w:tcMar>
              <w:top w:w="0" w:type="dxa"/>
              <w:left w:w="70" w:type="dxa"/>
              <w:bottom w:w="0" w:type="dxa"/>
              <w:right w:w="70" w:type="dxa"/>
            </w:tcMar>
            <w:vAlign w:val="bottom"/>
            <w:hideMark/>
          </w:tcPr>
          <w:p w14:paraId="6CFD674F" w14:textId="77777777" w:rsidR="0067277A" w:rsidRPr="00CD05D2" w:rsidRDefault="0067277A" w:rsidP="00265D4F">
            <w:pPr>
              <w:pStyle w:val="NoSpacing"/>
              <w:jc w:val="center"/>
              <w:rPr>
                <w:rFonts w:cs="Times New Roman"/>
                <w:szCs w:val="24"/>
              </w:rPr>
            </w:pPr>
            <w:r w:rsidRPr="00CD05D2">
              <w:rPr>
                <w:rFonts w:cs="Times New Roman"/>
                <w:szCs w:val="24"/>
              </w:rPr>
              <w:t>997</w:t>
            </w:r>
          </w:p>
        </w:tc>
        <w:tc>
          <w:tcPr>
            <w:tcW w:w="1417" w:type="dxa"/>
            <w:vAlign w:val="bottom"/>
          </w:tcPr>
          <w:p w14:paraId="5071413A" w14:textId="77777777" w:rsidR="0067277A" w:rsidRPr="00CD05D2" w:rsidRDefault="0067277A" w:rsidP="00265D4F">
            <w:pPr>
              <w:pStyle w:val="NoSpacing"/>
              <w:jc w:val="center"/>
              <w:rPr>
                <w:rFonts w:cs="Times New Roman"/>
                <w:szCs w:val="24"/>
              </w:rPr>
            </w:pPr>
            <w:r w:rsidRPr="00CD05D2">
              <w:rPr>
                <w:rFonts w:cs="Times New Roman"/>
                <w:szCs w:val="24"/>
              </w:rPr>
              <w:t>1065</w:t>
            </w:r>
          </w:p>
        </w:tc>
      </w:tr>
    </w:tbl>
    <w:bookmarkEnd w:id="0"/>
    <w:p w14:paraId="6A4DDCF8" w14:textId="77777777" w:rsidR="0067277A" w:rsidRPr="00CD05D2" w:rsidRDefault="0067277A" w:rsidP="0067277A">
      <w:pPr>
        <w:pStyle w:val="Heading4"/>
        <w:numPr>
          <w:ilvl w:val="0"/>
          <w:numId w:val="0"/>
        </w:numPr>
        <w:rPr>
          <w:rFonts w:cs="Times New Roman"/>
        </w:rPr>
      </w:pPr>
      <w:r w:rsidRPr="00CD05D2">
        <w:rPr>
          <w:rFonts w:cs="Times New Roman"/>
        </w:rPr>
        <w:lastRenderedPageBreak/>
        <w:t>Drilling fluid-2 for Barite Sagging Evaluation</w:t>
      </w:r>
    </w:p>
    <w:p w14:paraId="4822FF11" w14:textId="77777777" w:rsidR="0067277A" w:rsidRPr="00CD05D2" w:rsidRDefault="0067277A" w:rsidP="0067277A">
      <w:pPr>
        <w:jc w:val="both"/>
        <w:rPr>
          <w:rFonts w:cs="Times New Roman"/>
          <w:szCs w:val="24"/>
        </w:rPr>
      </w:pPr>
      <w:r w:rsidRPr="00CD05D2">
        <w:rPr>
          <w:rFonts w:cs="Times New Roman"/>
          <w:szCs w:val="24"/>
        </w:rPr>
        <w:t>For the sagging evaluations, 60/40 and 80/20 OBM drilling fluids were obtained from MI-SWACO. The drilling fluids have the same density, which is 1750 kg/m</w:t>
      </w:r>
      <w:r w:rsidRPr="00CD05D2">
        <w:rPr>
          <w:rFonts w:cs="Times New Roman"/>
          <w:szCs w:val="24"/>
          <w:vertAlign w:val="superscript"/>
        </w:rPr>
        <w:t>3,</w:t>
      </w:r>
      <w:r w:rsidRPr="00CD05D2">
        <w:rPr>
          <w:rFonts w:cs="Times New Roman"/>
          <w:szCs w:val="24"/>
        </w:rPr>
        <w:t xml:space="preserve"> and different OWRs. Table A2 provides the chemical compositions and their function in the drilling fluids. The brines (water to salt ratio) of the drilling fluid systems are the same to obtain equal water phase salinity. The Barite to Water ratio of 80:20 OBM is about twice that of the 60:40 OBM. </w:t>
      </w:r>
    </w:p>
    <w:p w14:paraId="01A01B60" w14:textId="77777777" w:rsidR="0067277A" w:rsidRPr="00CD05D2" w:rsidRDefault="0067277A" w:rsidP="0067277A">
      <w:pPr>
        <w:ind w:left="1440" w:firstLine="720"/>
        <w:rPr>
          <w:rFonts w:cs="Times New Roman"/>
          <w:noProof/>
          <w:szCs w:val="24"/>
          <w:lang w:eastAsia="nb-NO"/>
        </w:rPr>
      </w:pPr>
      <w:r w:rsidRPr="00063A9E">
        <w:rPr>
          <w:rFonts w:cs="Times New Roman"/>
          <w:noProof/>
          <w:szCs w:val="24"/>
          <w:lang w:eastAsia="nb-NO"/>
        </w:rPr>
        <w:t>Table A2</w:t>
      </w:r>
      <w:r w:rsidRPr="00CD05D2">
        <w:rPr>
          <w:rFonts w:cs="Times New Roman"/>
          <w:b/>
          <w:bCs/>
          <w:noProof/>
          <w:szCs w:val="24"/>
          <w:lang w:eastAsia="nb-NO"/>
        </w:rPr>
        <w:t>:</w:t>
      </w:r>
      <w:r w:rsidRPr="00CD05D2">
        <w:rPr>
          <w:rFonts w:cs="Times New Roman"/>
          <w:noProof/>
          <w:szCs w:val="24"/>
          <w:lang w:eastAsia="nb-NO"/>
        </w:rPr>
        <w:t xml:space="preserve"> Drilling fluid formulation.</w:t>
      </w:r>
    </w:p>
    <w:tbl>
      <w:tblPr>
        <w:tblW w:w="5096"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6"/>
        <w:gridCol w:w="1420"/>
        <w:gridCol w:w="1420"/>
      </w:tblGrid>
      <w:tr w:rsidR="0067277A" w:rsidRPr="00CD05D2" w14:paraId="33C51074" w14:textId="77777777" w:rsidTr="00265D4F">
        <w:trPr>
          <w:trHeight w:val="300"/>
          <w:jc w:val="center"/>
        </w:trPr>
        <w:tc>
          <w:tcPr>
            <w:tcW w:w="2256" w:type="dxa"/>
            <w:shd w:val="clear" w:color="auto" w:fill="EDEDED" w:themeFill="accent3" w:themeFillTint="33"/>
            <w:noWrap/>
            <w:vAlign w:val="bottom"/>
            <w:hideMark/>
          </w:tcPr>
          <w:p w14:paraId="7646F070" w14:textId="77777777" w:rsidR="0067277A" w:rsidRPr="00CD05D2" w:rsidRDefault="0067277A" w:rsidP="00265D4F">
            <w:pPr>
              <w:pStyle w:val="NoSpacing"/>
              <w:rPr>
                <w:lang w:eastAsia="nb-NO"/>
              </w:rPr>
            </w:pPr>
            <w:r w:rsidRPr="00CD05D2">
              <w:rPr>
                <w:lang w:eastAsia="nb-NO"/>
              </w:rPr>
              <w:t>Chemical’s function</w:t>
            </w:r>
          </w:p>
        </w:tc>
        <w:tc>
          <w:tcPr>
            <w:tcW w:w="1420" w:type="dxa"/>
            <w:shd w:val="clear" w:color="auto" w:fill="EDEDED" w:themeFill="accent3" w:themeFillTint="33"/>
            <w:noWrap/>
            <w:vAlign w:val="bottom"/>
            <w:hideMark/>
          </w:tcPr>
          <w:p w14:paraId="1A82EC3B" w14:textId="77777777" w:rsidR="0067277A" w:rsidRPr="00CD05D2" w:rsidRDefault="0067277A" w:rsidP="00265D4F">
            <w:pPr>
              <w:pStyle w:val="NoSpacing"/>
              <w:rPr>
                <w:lang w:eastAsia="nb-NO"/>
              </w:rPr>
            </w:pPr>
            <w:r w:rsidRPr="00CD05D2">
              <w:t>60/40 OBM</w:t>
            </w:r>
          </w:p>
        </w:tc>
        <w:tc>
          <w:tcPr>
            <w:tcW w:w="1420" w:type="dxa"/>
            <w:shd w:val="clear" w:color="auto" w:fill="EDEDED" w:themeFill="accent3" w:themeFillTint="33"/>
            <w:noWrap/>
            <w:vAlign w:val="bottom"/>
            <w:hideMark/>
          </w:tcPr>
          <w:p w14:paraId="2BAD55E6" w14:textId="77777777" w:rsidR="0067277A" w:rsidRPr="00CD05D2" w:rsidRDefault="0067277A" w:rsidP="00265D4F">
            <w:pPr>
              <w:pStyle w:val="NoSpacing"/>
              <w:rPr>
                <w:lang w:eastAsia="nb-NO"/>
              </w:rPr>
            </w:pPr>
            <w:r w:rsidRPr="00CD05D2">
              <w:t>80/20 OBM</w:t>
            </w:r>
          </w:p>
        </w:tc>
      </w:tr>
      <w:tr w:rsidR="0067277A" w:rsidRPr="00CD05D2" w14:paraId="781BFBFF" w14:textId="77777777" w:rsidTr="00265D4F">
        <w:trPr>
          <w:trHeight w:val="300"/>
          <w:jc w:val="center"/>
        </w:trPr>
        <w:tc>
          <w:tcPr>
            <w:tcW w:w="2256" w:type="dxa"/>
            <w:shd w:val="clear" w:color="auto" w:fill="FFFFFF"/>
            <w:noWrap/>
            <w:vAlign w:val="bottom"/>
            <w:hideMark/>
          </w:tcPr>
          <w:p w14:paraId="2A14F8F3" w14:textId="77777777" w:rsidR="0067277A" w:rsidRPr="00CD05D2" w:rsidRDefault="0067277A" w:rsidP="00265D4F">
            <w:pPr>
              <w:pStyle w:val="NoSpacing"/>
              <w:rPr>
                <w:lang w:eastAsia="nb-NO"/>
              </w:rPr>
            </w:pPr>
            <w:r w:rsidRPr="00CD05D2">
              <w:rPr>
                <w:lang w:eastAsia="nb-NO"/>
              </w:rPr>
              <w:t>Base oil</w:t>
            </w:r>
          </w:p>
        </w:tc>
        <w:tc>
          <w:tcPr>
            <w:tcW w:w="1420" w:type="dxa"/>
            <w:shd w:val="clear" w:color="auto" w:fill="auto"/>
            <w:noWrap/>
            <w:vAlign w:val="bottom"/>
            <w:hideMark/>
          </w:tcPr>
          <w:p w14:paraId="019F4EB5" w14:textId="77777777" w:rsidR="0067277A" w:rsidRPr="00CD05D2" w:rsidRDefault="0067277A" w:rsidP="00265D4F">
            <w:pPr>
              <w:pStyle w:val="NoSpacing"/>
              <w:rPr>
                <w:lang w:eastAsia="nb-NO"/>
              </w:rPr>
            </w:pPr>
            <w:r w:rsidRPr="00CD05D2">
              <w:rPr>
                <w:lang w:eastAsia="nb-NO"/>
              </w:rPr>
              <w:t>330.6</w:t>
            </w:r>
          </w:p>
        </w:tc>
        <w:tc>
          <w:tcPr>
            <w:tcW w:w="1420" w:type="dxa"/>
            <w:shd w:val="clear" w:color="auto" w:fill="auto"/>
            <w:noWrap/>
            <w:vAlign w:val="bottom"/>
            <w:hideMark/>
          </w:tcPr>
          <w:p w14:paraId="579B33B8" w14:textId="77777777" w:rsidR="0067277A" w:rsidRPr="00CD05D2" w:rsidRDefault="0067277A" w:rsidP="00265D4F">
            <w:pPr>
              <w:pStyle w:val="NoSpacing"/>
              <w:rPr>
                <w:lang w:eastAsia="nb-NO"/>
              </w:rPr>
            </w:pPr>
            <w:r w:rsidRPr="00CD05D2">
              <w:rPr>
                <w:lang w:eastAsia="nb-NO"/>
              </w:rPr>
              <w:t>443.1</w:t>
            </w:r>
          </w:p>
        </w:tc>
      </w:tr>
      <w:tr w:rsidR="0067277A" w:rsidRPr="00CD05D2" w14:paraId="5877CE55" w14:textId="77777777" w:rsidTr="00265D4F">
        <w:trPr>
          <w:trHeight w:val="300"/>
          <w:jc w:val="center"/>
        </w:trPr>
        <w:tc>
          <w:tcPr>
            <w:tcW w:w="2256" w:type="dxa"/>
            <w:shd w:val="clear" w:color="auto" w:fill="FFFFFF"/>
            <w:noWrap/>
            <w:vAlign w:val="bottom"/>
            <w:hideMark/>
          </w:tcPr>
          <w:p w14:paraId="649F6F5A" w14:textId="77777777" w:rsidR="0067277A" w:rsidRPr="00CD05D2" w:rsidRDefault="0067277A" w:rsidP="00265D4F">
            <w:pPr>
              <w:pStyle w:val="NoSpacing"/>
              <w:rPr>
                <w:lang w:eastAsia="nb-NO"/>
              </w:rPr>
            </w:pPr>
            <w:r w:rsidRPr="00CD05D2">
              <w:rPr>
                <w:lang w:eastAsia="nb-NO"/>
              </w:rPr>
              <w:t>Emulsifier</w:t>
            </w:r>
          </w:p>
        </w:tc>
        <w:tc>
          <w:tcPr>
            <w:tcW w:w="1420" w:type="dxa"/>
            <w:shd w:val="clear" w:color="auto" w:fill="auto"/>
            <w:noWrap/>
            <w:vAlign w:val="bottom"/>
            <w:hideMark/>
          </w:tcPr>
          <w:p w14:paraId="537FCA80" w14:textId="77777777" w:rsidR="0067277A" w:rsidRPr="00CD05D2" w:rsidRDefault="0067277A" w:rsidP="00265D4F">
            <w:pPr>
              <w:pStyle w:val="NoSpacing"/>
              <w:rPr>
                <w:lang w:eastAsia="nb-NO"/>
              </w:rPr>
            </w:pPr>
            <w:r w:rsidRPr="00CD05D2">
              <w:rPr>
                <w:lang w:eastAsia="nb-NO"/>
              </w:rPr>
              <w:t>25</w:t>
            </w:r>
          </w:p>
        </w:tc>
        <w:tc>
          <w:tcPr>
            <w:tcW w:w="1420" w:type="dxa"/>
            <w:shd w:val="clear" w:color="auto" w:fill="auto"/>
            <w:noWrap/>
            <w:vAlign w:val="bottom"/>
            <w:hideMark/>
          </w:tcPr>
          <w:p w14:paraId="68888589" w14:textId="77777777" w:rsidR="0067277A" w:rsidRPr="00CD05D2" w:rsidRDefault="0067277A" w:rsidP="00265D4F">
            <w:pPr>
              <w:pStyle w:val="NoSpacing"/>
              <w:rPr>
                <w:lang w:eastAsia="nb-NO"/>
              </w:rPr>
            </w:pPr>
            <w:r w:rsidRPr="00CD05D2">
              <w:rPr>
                <w:lang w:eastAsia="nb-NO"/>
              </w:rPr>
              <w:t>25</w:t>
            </w:r>
          </w:p>
        </w:tc>
      </w:tr>
      <w:tr w:rsidR="0067277A" w:rsidRPr="00CD05D2" w14:paraId="58E12A96" w14:textId="77777777" w:rsidTr="00265D4F">
        <w:trPr>
          <w:trHeight w:val="300"/>
          <w:jc w:val="center"/>
        </w:trPr>
        <w:tc>
          <w:tcPr>
            <w:tcW w:w="2256" w:type="dxa"/>
            <w:shd w:val="clear" w:color="auto" w:fill="FFFFFF"/>
            <w:noWrap/>
            <w:vAlign w:val="bottom"/>
            <w:hideMark/>
          </w:tcPr>
          <w:p w14:paraId="07336C7F" w14:textId="77777777" w:rsidR="0067277A" w:rsidRPr="00CD05D2" w:rsidRDefault="0067277A" w:rsidP="00265D4F">
            <w:pPr>
              <w:pStyle w:val="NoSpacing"/>
              <w:rPr>
                <w:lang w:eastAsia="nb-NO"/>
              </w:rPr>
            </w:pPr>
            <w:proofErr w:type="spellStart"/>
            <w:r w:rsidRPr="00CD05D2">
              <w:t>Viscosifier</w:t>
            </w:r>
            <w:proofErr w:type="spellEnd"/>
          </w:p>
        </w:tc>
        <w:tc>
          <w:tcPr>
            <w:tcW w:w="1420" w:type="dxa"/>
            <w:shd w:val="clear" w:color="auto" w:fill="auto"/>
            <w:noWrap/>
            <w:vAlign w:val="bottom"/>
            <w:hideMark/>
          </w:tcPr>
          <w:p w14:paraId="5AD600E7" w14:textId="77777777" w:rsidR="0067277A" w:rsidRPr="00CD05D2" w:rsidRDefault="0067277A" w:rsidP="00265D4F">
            <w:pPr>
              <w:pStyle w:val="NoSpacing"/>
              <w:rPr>
                <w:lang w:eastAsia="nb-NO"/>
              </w:rPr>
            </w:pPr>
            <w:r w:rsidRPr="00CD05D2">
              <w:rPr>
                <w:lang w:eastAsia="nb-NO"/>
              </w:rPr>
              <w:t>7</w:t>
            </w:r>
          </w:p>
        </w:tc>
        <w:tc>
          <w:tcPr>
            <w:tcW w:w="1420" w:type="dxa"/>
            <w:shd w:val="clear" w:color="auto" w:fill="auto"/>
            <w:noWrap/>
            <w:vAlign w:val="bottom"/>
            <w:hideMark/>
          </w:tcPr>
          <w:p w14:paraId="5EED83AB" w14:textId="77777777" w:rsidR="0067277A" w:rsidRPr="00CD05D2" w:rsidRDefault="0067277A" w:rsidP="00265D4F">
            <w:pPr>
              <w:pStyle w:val="NoSpacing"/>
              <w:rPr>
                <w:lang w:eastAsia="nb-NO"/>
              </w:rPr>
            </w:pPr>
            <w:r w:rsidRPr="00CD05D2">
              <w:rPr>
                <w:lang w:eastAsia="nb-NO"/>
              </w:rPr>
              <w:t>7</w:t>
            </w:r>
          </w:p>
        </w:tc>
      </w:tr>
      <w:tr w:rsidR="0067277A" w:rsidRPr="00CD05D2" w14:paraId="4285D9BB" w14:textId="77777777" w:rsidTr="00265D4F">
        <w:trPr>
          <w:trHeight w:val="300"/>
          <w:jc w:val="center"/>
        </w:trPr>
        <w:tc>
          <w:tcPr>
            <w:tcW w:w="2256" w:type="dxa"/>
            <w:shd w:val="clear" w:color="auto" w:fill="FFFFFF"/>
            <w:noWrap/>
            <w:vAlign w:val="bottom"/>
            <w:hideMark/>
          </w:tcPr>
          <w:p w14:paraId="512B92CF" w14:textId="77777777" w:rsidR="0067277A" w:rsidRPr="00CD05D2" w:rsidRDefault="0067277A" w:rsidP="00265D4F">
            <w:pPr>
              <w:pStyle w:val="NoSpacing"/>
              <w:rPr>
                <w:lang w:eastAsia="nb-NO"/>
              </w:rPr>
            </w:pPr>
            <w:r w:rsidRPr="00CD05D2">
              <w:rPr>
                <w:lang w:eastAsia="nb-NO"/>
              </w:rPr>
              <w:t>Alkalinity</w:t>
            </w:r>
          </w:p>
        </w:tc>
        <w:tc>
          <w:tcPr>
            <w:tcW w:w="1420" w:type="dxa"/>
            <w:shd w:val="clear" w:color="auto" w:fill="auto"/>
            <w:noWrap/>
            <w:vAlign w:val="bottom"/>
            <w:hideMark/>
          </w:tcPr>
          <w:p w14:paraId="0FABF2A2" w14:textId="77777777" w:rsidR="0067277A" w:rsidRPr="00CD05D2" w:rsidRDefault="0067277A" w:rsidP="00265D4F">
            <w:pPr>
              <w:pStyle w:val="NoSpacing"/>
              <w:rPr>
                <w:lang w:eastAsia="nb-NO"/>
              </w:rPr>
            </w:pPr>
            <w:r w:rsidRPr="00CD05D2">
              <w:rPr>
                <w:lang w:eastAsia="nb-NO"/>
              </w:rPr>
              <w:t>25</w:t>
            </w:r>
          </w:p>
        </w:tc>
        <w:tc>
          <w:tcPr>
            <w:tcW w:w="1420" w:type="dxa"/>
            <w:shd w:val="clear" w:color="auto" w:fill="auto"/>
            <w:noWrap/>
            <w:vAlign w:val="bottom"/>
            <w:hideMark/>
          </w:tcPr>
          <w:p w14:paraId="5287E5C0" w14:textId="77777777" w:rsidR="0067277A" w:rsidRPr="00CD05D2" w:rsidRDefault="0067277A" w:rsidP="00265D4F">
            <w:pPr>
              <w:pStyle w:val="NoSpacing"/>
              <w:rPr>
                <w:lang w:eastAsia="nb-NO"/>
              </w:rPr>
            </w:pPr>
            <w:r w:rsidRPr="00CD05D2">
              <w:rPr>
                <w:lang w:eastAsia="nb-NO"/>
              </w:rPr>
              <w:t>25</w:t>
            </w:r>
          </w:p>
        </w:tc>
      </w:tr>
      <w:tr w:rsidR="0067277A" w:rsidRPr="00CD05D2" w14:paraId="7586FE24" w14:textId="77777777" w:rsidTr="00265D4F">
        <w:trPr>
          <w:trHeight w:val="300"/>
          <w:jc w:val="center"/>
        </w:trPr>
        <w:tc>
          <w:tcPr>
            <w:tcW w:w="2256" w:type="dxa"/>
            <w:shd w:val="clear" w:color="auto" w:fill="FFFFFF"/>
            <w:noWrap/>
            <w:vAlign w:val="bottom"/>
            <w:hideMark/>
          </w:tcPr>
          <w:p w14:paraId="23FEB2C0" w14:textId="77777777" w:rsidR="0067277A" w:rsidRPr="00CD05D2" w:rsidRDefault="0067277A" w:rsidP="00265D4F">
            <w:pPr>
              <w:pStyle w:val="NoSpacing"/>
              <w:rPr>
                <w:lang w:eastAsia="nb-NO"/>
              </w:rPr>
            </w:pPr>
            <w:r w:rsidRPr="00CD05D2">
              <w:rPr>
                <w:lang w:eastAsia="nb-NO"/>
              </w:rPr>
              <w:t>Filter Loss agent</w:t>
            </w:r>
          </w:p>
        </w:tc>
        <w:tc>
          <w:tcPr>
            <w:tcW w:w="1420" w:type="dxa"/>
            <w:shd w:val="clear" w:color="auto" w:fill="auto"/>
            <w:noWrap/>
            <w:vAlign w:val="bottom"/>
            <w:hideMark/>
          </w:tcPr>
          <w:p w14:paraId="7D1C4517" w14:textId="77777777" w:rsidR="0067277A" w:rsidRPr="00CD05D2" w:rsidRDefault="0067277A" w:rsidP="00265D4F">
            <w:pPr>
              <w:pStyle w:val="NoSpacing"/>
              <w:rPr>
                <w:lang w:eastAsia="nb-NO"/>
              </w:rPr>
            </w:pPr>
            <w:r w:rsidRPr="00CD05D2">
              <w:rPr>
                <w:lang w:eastAsia="nb-NO"/>
              </w:rPr>
              <w:t>10</w:t>
            </w:r>
          </w:p>
        </w:tc>
        <w:tc>
          <w:tcPr>
            <w:tcW w:w="1420" w:type="dxa"/>
            <w:shd w:val="clear" w:color="auto" w:fill="auto"/>
            <w:noWrap/>
            <w:vAlign w:val="bottom"/>
            <w:hideMark/>
          </w:tcPr>
          <w:p w14:paraId="40937F4A" w14:textId="77777777" w:rsidR="0067277A" w:rsidRPr="00CD05D2" w:rsidRDefault="0067277A" w:rsidP="00265D4F">
            <w:pPr>
              <w:pStyle w:val="NoSpacing"/>
              <w:rPr>
                <w:lang w:eastAsia="nb-NO"/>
              </w:rPr>
            </w:pPr>
            <w:r w:rsidRPr="00CD05D2">
              <w:rPr>
                <w:lang w:eastAsia="nb-NO"/>
              </w:rPr>
              <w:t>10</w:t>
            </w:r>
          </w:p>
        </w:tc>
      </w:tr>
      <w:tr w:rsidR="0067277A" w:rsidRPr="00CD05D2" w14:paraId="7FC5613D" w14:textId="77777777" w:rsidTr="00265D4F">
        <w:trPr>
          <w:trHeight w:val="300"/>
          <w:jc w:val="center"/>
        </w:trPr>
        <w:tc>
          <w:tcPr>
            <w:tcW w:w="2256" w:type="dxa"/>
            <w:shd w:val="clear" w:color="auto" w:fill="FFFFFF"/>
            <w:noWrap/>
            <w:vAlign w:val="bottom"/>
            <w:hideMark/>
          </w:tcPr>
          <w:p w14:paraId="56D09720" w14:textId="77777777" w:rsidR="0067277A" w:rsidRPr="00CD05D2" w:rsidRDefault="0067277A" w:rsidP="00265D4F">
            <w:pPr>
              <w:pStyle w:val="NoSpacing"/>
              <w:rPr>
                <w:lang w:eastAsia="nb-NO"/>
              </w:rPr>
            </w:pPr>
            <w:r w:rsidRPr="00CD05D2">
              <w:rPr>
                <w:lang w:eastAsia="nb-NO"/>
              </w:rPr>
              <w:t>Freshwater</w:t>
            </w:r>
          </w:p>
        </w:tc>
        <w:tc>
          <w:tcPr>
            <w:tcW w:w="1420" w:type="dxa"/>
            <w:shd w:val="clear" w:color="auto" w:fill="auto"/>
            <w:noWrap/>
            <w:vAlign w:val="bottom"/>
            <w:hideMark/>
          </w:tcPr>
          <w:p w14:paraId="1B427DC5" w14:textId="77777777" w:rsidR="0067277A" w:rsidRPr="00CD05D2" w:rsidRDefault="0067277A" w:rsidP="00265D4F">
            <w:pPr>
              <w:pStyle w:val="NoSpacing"/>
              <w:rPr>
                <w:lang w:eastAsia="nb-NO"/>
              </w:rPr>
            </w:pPr>
            <w:r w:rsidRPr="00CD05D2">
              <w:rPr>
                <w:lang w:eastAsia="nb-NO"/>
              </w:rPr>
              <w:t>275.8</w:t>
            </w:r>
          </w:p>
        </w:tc>
        <w:tc>
          <w:tcPr>
            <w:tcW w:w="1420" w:type="dxa"/>
            <w:shd w:val="clear" w:color="auto" w:fill="auto"/>
            <w:noWrap/>
            <w:vAlign w:val="bottom"/>
            <w:hideMark/>
          </w:tcPr>
          <w:p w14:paraId="60DFAB8E" w14:textId="77777777" w:rsidR="0067277A" w:rsidRPr="00CD05D2" w:rsidRDefault="0067277A" w:rsidP="00265D4F">
            <w:pPr>
              <w:pStyle w:val="NoSpacing"/>
              <w:rPr>
                <w:lang w:eastAsia="nb-NO"/>
              </w:rPr>
            </w:pPr>
            <w:r w:rsidRPr="00CD05D2">
              <w:rPr>
                <w:lang w:eastAsia="nb-NO"/>
              </w:rPr>
              <w:t>136.4</w:t>
            </w:r>
          </w:p>
        </w:tc>
      </w:tr>
      <w:tr w:rsidR="0067277A" w:rsidRPr="00CD05D2" w14:paraId="209A3E4F" w14:textId="77777777" w:rsidTr="00265D4F">
        <w:trPr>
          <w:trHeight w:val="300"/>
          <w:jc w:val="center"/>
        </w:trPr>
        <w:tc>
          <w:tcPr>
            <w:tcW w:w="2256" w:type="dxa"/>
            <w:shd w:val="clear" w:color="auto" w:fill="FFFFFF"/>
            <w:noWrap/>
            <w:vAlign w:val="bottom"/>
            <w:hideMark/>
          </w:tcPr>
          <w:p w14:paraId="52306EA0" w14:textId="77777777" w:rsidR="0067277A" w:rsidRPr="00CD05D2" w:rsidRDefault="0067277A" w:rsidP="00265D4F">
            <w:pPr>
              <w:pStyle w:val="NoSpacing"/>
              <w:rPr>
                <w:lang w:eastAsia="nb-NO"/>
              </w:rPr>
            </w:pPr>
            <w:r w:rsidRPr="00CD05D2">
              <w:rPr>
                <w:lang w:eastAsia="nb-NO"/>
              </w:rPr>
              <w:t>Salt</w:t>
            </w:r>
          </w:p>
        </w:tc>
        <w:tc>
          <w:tcPr>
            <w:tcW w:w="1420" w:type="dxa"/>
            <w:shd w:val="clear" w:color="auto" w:fill="auto"/>
            <w:noWrap/>
            <w:vAlign w:val="bottom"/>
            <w:hideMark/>
          </w:tcPr>
          <w:p w14:paraId="2710C791" w14:textId="77777777" w:rsidR="0067277A" w:rsidRPr="00CD05D2" w:rsidRDefault="0067277A" w:rsidP="00265D4F">
            <w:pPr>
              <w:pStyle w:val="NoSpacing"/>
              <w:rPr>
                <w:lang w:eastAsia="nb-NO"/>
              </w:rPr>
            </w:pPr>
            <w:r w:rsidRPr="00CD05D2">
              <w:rPr>
                <w:lang w:eastAsia="nb-NO"/>
              </w:rPr>
              <w:t>84.8</w:t>
            </w:r>
          </w:p>
        </w:tc>
        <w:tc>
          <w:tcPr>
            <w:tcW w:w="1420" w:type="dxa"/>
            <w:shd w:val="clear" w:color="auto" w:fill="auto"/>
            <w:noWrap/>
            <w:vAlign w:val="bottom"/>
            <w:hideMark/>
          </w:tcPr>
          <w:p w14:paraId="49C4DE8A" w14:textId="77777777" w:rsidR="0067277A" w:rsidRPr="00CD05D2" w:rsidRDefault="0067277A" w:rsidP="00265D4F">
            <w:pPr>
              <w:pStyle w:val="NoSpacing"/>
              <w:rPr>
                <w:lang w:eastAsia="nb-NO"/>
              </w:rPr>
            </w:pPr>
            <w:r w:rsidRPr="00CD05D2">
              <w:rPr>
                <w:lang w:eastAsia="nb-NO"/>
              </w:rPr>
              <w:t>42</w:t>
            </w:r>
          </w:p>
        </w:tc>
      </w:tr>
      <w:tr w:rsidR="0067277A" w:rsidRPr="00CD05D2" w14:paraId="7F4A6C6C" w14:textId="77777777" w:rsidTr="00265D4F">
        <w:trPr>
          <w:trHeight w:val="300"/>
          <w:jc w:val="center"/>
        </w:trPr>
        <w:tc>
          <w:tcPr>
            <w:tcW w:w="2256" w:type="dxa"/>
            <w:shd w:val="clear" w:color="auto" w:fill="FFFFFF"/>
            <w:noWrap/>
            <w:vAlign w:val="bottom"/>
            <w:hideMark/>
          </w:tcPr>
          <w:p w14:paraId="58551EEF" w14:textId="77777777" w:rsidR="0067277A" w:rsidRPr="00CD05D2" w:rsidRDefault="0067277A" w:rsidP="00265D4F">
            <w:pPr>
              <w:pStyle w:val="NoSpacing"/>
              <w:rPr>
                <w:lang w:eastAsia="nb-NO"/>
              </w:rPr>
            </w:pPr>
            <w:r w:rsidRPr="00CD05D2">
              <w:rPr>
                <w:lang w:eastAsia="nb-NO"/>
              </w:rPr>
              <w:t>Weight material</w:t>
            </w:r>
          </w:p>
        </w:tc>
        <w:tc>
          <w:tcPr>
            <w:tcW w:w="1420" w:type="dxa"/>
            <w:shd w:val="clear" w:color="auto" w:fill="auto"/>
            <w:noWrap/>
            <w:vAlign w:val="bottom"/>
            <w:hideMark/>
          </w:tcPr>
          <w:p w14:paraId="5490A68B" w14:textId="77777777" w:rsidR="0067277A" w:rsidRPr="00CD05D2" w:rsidRDefault="0067277A" w:rsidP="00265D4F">
            <w:pPr>
              <w:pStyle w:val="NoSpacing"/>
              <w:rPr>
                <w:lang w:eastAsia="nb-NO"/>
              </w:rPr>
            </w:pPr>
            <w:r w:rsidRPr="00CD05D2">
              <w:rPr>
                <w:lang w:eastAsia="nb-NO"/>
              </w:rPr>
              <w:t>990.8</w:t>
            </w:r>
          </w:p>
        </w:tc>
        <w:tc>
          <w:tcPr>
            <w:tcW w:w="1420" w:type="dxa"/>
            <w:shd w:val="clear" w:color="auto" w:fill="auto"/>
            <w:noWrap/>
            <w:vAlign w:val="bottom"/>
            <w:hideMark/>
          </w:tcPr>
          <w:p w14:paraId="4C51F5AB" w14:textId="77777777" w:rsidR="0067277A" w:rsidRPr="00CD05D2" w:rsidRDefault="0067277A" w:rsidP="00265D4F">
            <w:pPr>
              <w:pStyle w:val="NoSpacing"/>
              <w:rPr>
                <w:lang w:eastAsia="nb-NO"/>
              </w:rPr>
            </w:pPr>
            <w:r w:rsidRPr="00CD05D2">
              <w:rPr>
                <w:lang w:eastAsia="nb-NO"/>
              </w:rPr>
              <w:t>1061.4</w:t>
            </w:r>
          </w:p>
        </w:tc>
      </w:tr>
    </w:tbl>
    <w:p w14:paraId="652E5A20" w14:textId="77777777" w:rsidR="0067277A" w:rsidRPr="00CD05D2" w:rsidRDefault="0067277A" w:rsidP="0067277A">
      <w:pPr>
        <w:rPr>
          <w:rFonts w:cs="Times New Roman"/>
          <w:noProof/>
          <w:szCs w:val="24"/>
          <w:lang w:eastAsia="nb-NO"/>
        </w:rPr>
      </w:pPr>
    </w:p>
    <w:p w14:paraId="3E44773C" w14:textId="75377D44" w:rsidR="0067277A" w:rsidRPr="0067277A" w:rsidRDefault="0067277A" w:rsidP="0067277A">
      <w:pPr>
        <w:pStyle w:val="Heading3"/>
        <w:numPr>
          <w:ilvl w:val="0"/>
          <w:numId w:val="0"/>
        </w:numPr>
        <w:ind w:left="567" w:hanging="567"/>
        <w:rPr>
          <w:rFonts w:cs="Times New Roman"/>
        </w:rPr>
      </w:pPr>
      <w:r>
        <w:rPr>
          <w:rFonts w:cs="Times New Roman"/>
        </w:rPr>
        <w:t xml:space="preserve">Compressibility of </w:t>
      </w:r>
      <w:r w:rsidRPr="0067277A">
        <w:rPr>
          <w:rFonts w:cs="Times New Roman"/>
        </w:rPr>
        <w:t>drilling fluids</w:t>
      </w:r>
      <w:r>
        <w:rPr>
          <w:rFonts w:cs="Times New Roman"/>
        </w:rPr>
        <w:t xml:space="preserve"> </w:t>
      </w:r>
      <w:r w:rsidRPr="0067277A">
        <w:rPr>
          <w:rFonts w:cs="Times New Roman"/>
        </w:rPr>
        <w:t xml:space="preserve">  </w:t>
      </w:r>
    </w:p>
    <w:p w14:paraId="639F0B11" w14:textId="56CD60E4" w:rsidR="0067277A" w:rsidRPr="00CD05D2" w:rsidRDefault="0067277A" w:rsidP="0067277A">
      <w:pPr>
        <w:pStyle w:val="BodyText"/>
        <w:jc w:val="both"/>
        <w:rPr>
          <w:sz w:val="24"/>
          <w:szCs w:val="24"/>
        </w:rPr>
      </w:pPr>
      <w:r w:rsidRPr="00CD05D2">
        <w:rPr>
          <w:sz w:val="24"/>
          <w:szCs w:val="24"/>
        </w:rPr>
        <w:t xml:space="preserve">In an attempt to analyze the compressibility of the two </w:t>
      </w:r>
      <w:r w:rsidR="0053124F">
        <w:rPr>
          <w:sz w:val="24"/>
          <w:szCs w:val="24"/>
        </w:rPr>
        <w:t xml:space="preserve">oil-based </w:t>
      </w:r>
      <w:r w:rsidRPr="00CD05D2">
        <w:rPr>
          <w:sz w:val="24"/>
          <w:szCs w:val="24"/>
        </w:rPr>
        <w:t>drilling fluids, LCM particle-free test was performed by closing the slot. As shown in Figure A2, both fluids have the same pressure gradient. The compressibility of the mud systems was calculated to be 0.6135 GPa</w:t>
      </w:r>
      <w:r w:rsidRPr="00CD05D2">
        <w:rPr>
          <w:sz w:val="24"/>
          <w:szCs w:val="24"/>
          <w:vertAlign w:val="superscript"/>
        </w:rPr>
        <w:t>-1</w:t>
      </w:r>
      <w:r w:rsidRPr="00CD05D2">
        <w:rPr>
          <w:sz w:val="24"/>
          <w:szCs w:val="24"/>
        </w:rPr>
        <w:t xml:space="preserve"> and </w:t>
      </w:r>
      <w:r w:rsidRPr="00CD05D2">
        <w:rPr>
          <w:color w:val="000000"/>
          <w:sz w:val="24"/>
          <w:szCs w:val="24"/>
          <w:lang w:eastAsia="nb-NO"/>
        </w:rPr>
        <w:t>0.6167</w:t>
      </w:r>
      <w:r w:rsidRPr="00CD05D2">
        <w:rPr>
          <w:sz w:val="24"/>
          <w:szCs w:val="24"/>
        </w:rPr>
        <w:t xml:space="preserve"> GPa</w:t>
      </w:r>
      <w:r w:rsidRPr="00CD05D2">
        <w:rPr>
          <w:sz w:val="24"/>
          <w:szCs w:val="24"/>
          <w:vertAlign w:val="superscript"/>
        </w:rPr>
        <w:t>-1</w:t>
      </w:r>
      <w:r w:rsidRPr="00CD05D2">
        <w:rPr>
          <w:sz w:val="24"/>
          <w:szCs w:val="24"/>
        </w:rPr>
        <w:t xml:space="preserve"> for </w:t>
      </w:r>
      <w:r w:rsidRPr="00CD05D2">
        <w:rPr>
          <w:color w:val="000000"/>
          <w:sz w:val="24"/>
          <w:szCs w:val="24"/>
          <w:lang w:eastAsia="nb-NO"/>
        </w:rPr>
        <w:t>60/40 OMB</w:t>
      </w:r>
      <w:r w:rsidRPr="00CD05D2">
        <w:rPr>
          <w:sz w:val="24"/>
          <w:szCs w:val="24"/>
        </w:rPr>
        <w:t xml:space="preserve"> and 80</w:t>
      </w:r>
      <w:r w:rsidRPr="00CD05D2">
        <w:rPr>
          <w:color w:val="000000"/>
          <w:sz w:val="24"/>
          <w:szCs w:val="24"/>
          <w:lang w:eastAsia="nb-NO"/>
        </w:rPr>
        <w:t xml:space="preserve">/20 OMB, </w:t>
      </w:r>
      <w:r w:rsidRPr="00CD05D2">
        <w:rPr>
          <w:sz w:val="24"/>
          <w:szCs w:val="24"/>
        </w:rPr>
        <w:t xml:space="preserve">respectively. </w:t>
      </w:r>
    </w:p>
    <w:p w14:paraId="677875F2" w14:textId="77777777" w:rsidR="0067277A" w:rsidRPr="00CD05D2" w:rsidRDefault="0067277A" w:rsidP="0067277A">
      <w:pPr>
        <w:pStyle w:val="BodyText"/>
        <w:rPr>
          <w:sz w:val="24"/>
          <w:szCs w:val="24"/>
        </w:rPr>
      </w:pPr>
      <w:r w:rsidRPr="008F6BBB">
        <w:rPr>
          <w:noProof/>
        </w:rPr>
        <w:drawing>
          <wp:inline distT="0" distB="0" distL="0" distR="0" wp14:anchorId="4205F1DD" wp14:editId="791C835C">
            <wp:extent cx="6208395" cy="3427730"/>
            <wp:effectExtent l="0" t="0" r="1905" b="0"/>
            <wp:docPr id="49" name="Bild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8395" cy="3427730"/>
                    </a:xfrm>
                    <a:prstGeom prst="rect">
                      <a:avLst/>
                    </a:prstGeom>
                    <a:noFill/>
                    <a:ln>
                      <a:noFill/>
                    </a:ln>
                  </pic:spPr>
                </pic:pic>
              </a:graphicData>
            </a:graphic>
          </wp:inline>
        </w:drawing>
      </w:r>
    </w:p>
    <w:p w14:paraId="1351BEE6" w14:textId="77777777" w:rsidR="0067277A" w:rsidRPr="00CD05D2" w:rsidRDefault="0067277A" w:rsidP="0067277A">
      <w:pPr>
        <w:pStyle w:val="BodyText"/>
        <w:ind w:left="720" w:firstLine="720"/>
        <w:rPr>
          <w:sz w:val="24"/>
          <w:szCs w:val="24"/>
        </w:rPr>
      </w:pPr>
      <w:r w:rsidRPr="00CD05D2">
        <w:rPr>
          <w:sz w:val="24"/>
          <w:szCs w:val="24"/>
        </w:rPr>
        <w:t xml:space="preserve">Figure A2: Pressure buildup without slot (closed slot)    </w:t>
      </w:r>
    </w:p>
    <w:p w14:paraId="007F0676" w14:textId="68E9357D" w:rsidR="0067277A" w:rsidRPr="0067277A" w:rsidRDefault="0067277A" w:rsidP="0067277A">
      <w:pPr>
        <w:pStyle w:val="Heading3"/>
        <w:numPr>
          <w:ilvl w:val="0"/>
          <w:numId w:val="0"/>
        </w:numPr>
        <w:ind w:left="567" w:hanging="567"/>
        <w:rPr>
          <w:rFonts w:cs="Times New Roman"/>
        </w:rPr>
      </w:pPr>
      <w:r>
        <w:rPr>
          <w:rFonts w:cs="Times New Roman"/>
        </w:rPr>
        <w:lastRenderedPageBreak/>
        <w:t xml:space="preserve">Bridging performance of </w:t>
      </w:r>
      <w:r w:rsidRPr="0067277A">
        <w:rPr>
          <w:rFonts w:cs="Times New Roman"/>
        </w:rPr>
        <w:t>drilling fluids</w:t>
      </w:r>
      <w:r>
        <w:rPr>
          <w:rFonts w:cs="Times New Roman"/>
        </w:rPr>
        <w:t xml:space="preserve"> (without LCM) at 100</w:t>
      </w:r>
      <w:r w:rsidRPr="0067277A">
        <w:rPr>
          <w:rFonts w:ascii="Symbol" w:hAnsi="Symbol" w:cs="Times New Roman"/>
        </w:rPr>
        <w:t>m</w:t>
      </w:r>
      <w:r>
        <w:rPr>
          <w:rFonts w:cs="Times New Roman"/>
        </w:rPr>
        <w:t>m slot</w:t>
      </w:r>
      <w:r w:rsidRPr="0067277A">
        <w:rPr>
          <w:rFonts w:cs="Times New Roman"/>
        </w:rPr>
        <w:t xml:space="preserve"> </w:t>
      </w:r>
    </w:p>
    <w:p w14:paraId="42154C4E" w14:textId="69E13C28" w:rsidR="0067277A" w:rsidRPr="00CD05D2" w:rsidRDefault="0067277A" w:rsidP="0067277A">
      <w:pPr>
        <w:pStyle w:val="BodyText"/>
        <w:jc w:val="both"/>
        <w:rPr>
          <w:sz w:val="24"/>
          <w:szCs w:val="24"/>
        </w:rPr>
      </w:pPr>
      <w:r w:rsidRPr="00CD05D2">
        <w:rPr>
          <w:sz w:val="24"/>
          <w:szCs w:val="24"/>
        </w:rPr>
        <w:t>Figure A3 shows the particle-free mud systems bridging performance at 100</w:t>
      </w:r>
      <w:r w:rsidRPr="00CD05D2">
        <w:rPr>
          <w:rFonts w:ascii="Symbol" w:hAnsi="Symbol"/>
          <w:sz w:val="24"/>
          <w:szCs w:val="24"/>
        </w:rPr>
        <w:t></w:t>
      </w:r>
      <w:r w:rsidRPr="00CD05D2">
        <w:rPr>
          <w:sz w:val="24"/>
          <w:szCs w:val="24"/>
        </w:rPr>
        <w:t xml:space="preserve">m slot. The result shows that the fluid system exhibits comparable performances with minor deviation. Due to the high Oil content in 80/20, the barite sagging might be faster than the 60/40 and hence, the fracture could get more barite settling to seal the fracture and show a bit higher bridging pressure, but not sable in both cases. From the results, one can expect that by increasing the fracture width, the efficiency of the barite alone in bridging the fracture is lower, and a complete loss would result. </w:t>
      </w:r>
    </w:p>
    <w:p w14:paraId="461D2281" w14:textId="77777777" w:rsidR="0067277A" w:rsidRPr="00CD05D2" w:rsidRDefault="0067277A" w:rsidP="0067277A">
      <w:pPr>
        <w:pStyle w:val="BodyText"/>
        <w:rPr>
          <w:sz w:val="24"/>
          <w:szCs w:val="24"/>
        </w:rPr>
      </w:pPr>
      <w:r w:rsidRPr="00B6051D">
        <w:rPr>
          <w:noProof/>
        </w:rPr>
        <w:drawing>
          <wp:inline distT="0" distB="0" distL="0" distR="0" wp14:anchorId="55E8614C" wp14:editId="4EE98AA2">
            <wp:extent cx="6480000" cy="2422800"/>
            <wp:effectExtent l="0" t="0" r="0" b="0"/>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000" cy="2422800"/>
                    </a:xfrm>
                    <a:prstGeom prst="rect">
                      <a:avLst/>
                    </a:prstGeom>
                    <a:noFill/>
                    <a:ln>
                      <a:noFill/>
                    </a:ln>
                  </pic:spPr>
                </pic:pic>
              </a:graphicData>
            </a:graphic>
          </wp:inline>
        </w:drawing>
      </w:r>
      <w:r w:rsidRPr="00CD05D2">
        <w:rPr>
          <w:sz w:val="24"/>
          <w:szCs w:val="24"/>
        </w:rPr>
        <w:t>Figure A3: Particle additive free bridging test at 100</w:t>
      </w:r>
      <w:r>
        <w:rPr>
          <w:sz w:val="24"/>
          <w:szCs w:val="24"/>
        </w:rPr>
        <w:t xml:space="preserve"> </w:t>
      </w:r>
      <w:r w:rsidRPr="008F6BBB">
        <w:rPr>
          <w:rFonts w:ascii="Symbol" w:hAnsi="Symbol"/>
          <w:sz w:val="24"/>
          <w:szCs w:val="24"/>
        </w:rPr>
        <w:t>m</w:t>
      </w:r>
      <w:r>
        <w:rPr>
          <w:sz w:val="24"/>
          <w:szCs w:val="24"/>
        </w:rPr>
        <w:t>m</w:t>
      </w:r>
      <w:r w:rsidRPr="00CD05D2">
        <w:rPr>
          <w:sz w:val="24"/>
          <w:szCs w:val="24"/>
        </w:rPr>
        <w:t xml:space="preserve"> opening slots</w:t>
      </w:r>
    </w:p>
    <w:p w14:paraId="6B709CBD" w14:textId="77777777" w:rsidR="0067277A" w:rsidRDefault="0067277A" w:rsidP="0067277A">
      <w:pPr>
        <w:pStyle w:val="Heading3"/>
        <w:numPr>
          <w:ilvl w:val="0"/>
          <w:numId w:val="0"/>
        </w:numPr>
        <w:jc w:val="both"/>
        <w:rPr>
          <w:rFonts w:cs="Times New Roman"/>
        </w:rPr>
      </w:pPr>
    </w:p>
    <w:p w14:paraId="66C1845B" w14:textId="5B83D433" w:rsidR="0067277A" w:rsidRPr="00CD05D2" w:rsidRDefault="0067277A" w:rsidP="0067277A">
      <w:pPr>
        <w:pStyle w:val="Heading3"/>
        <w:numPr>
          <w:ilvl w:val="0"/>
          <w:numId w:val="0"/>
        </w:numPr>
        <w:jc w:val="both"/>
        <w:rPr>
          <w:rFonts w:cs="Times New Roman"/>
        </w:rPr>
      </w:pPr>
      <w:r w:rsidRPr="00CD05D2">
        <w:rPr>
          <w:rFonts w:cs="Times New Roman"/>
        </w:rPr>
        <w:t xml:space="preserve">Performance of mud systems in the presence of particle additive (Mica + LC-lube 1:1 ratio)  </w:t>
      </w:r>
    </w:p>
    <w:p w14:paraId="28FF7A91" w14:textId="7F462EF8" w:rsidR="0067277A" w:rsidRDefault="0067277A" w:rsidP="0067277A">
      <w:pPr>
        <w:pStyle w:val="BodyText"/>
        <w:jc w:val="both"/>
        <w:rPr>
          <w:sz w:val="24"/>
          <w:szCs w:val="24"/>
        </w:rPr>
      </w:pPr>
      <w:r w:rsidRPr="00CD05D2">
        <w:rPr>
          <w:sz w:val="24"/>
          <w:szCs w:val="24"/>
        </w:rPr>
        <w:t xml:space="preserve">The bridging performance of the particle blending is shown in Figures A4-A6. Their average pressures are documented in the main paper, in Figures 13-14 compared with the pure LC-lube and Mica test results. </w:t>
      </w:r>
    </w:p>
    <w:p w14:paraId="4284DD74" w14:textId="77777777" w:rsidR="0067277A" w:rsidRPr="00CD05D2" w:rsidRDefault="0067277A" w:rsidP="0067277A">
      <w:pPr>
        <w:pStyle w:val="BodyText"/>
        <w:jc w:val="both"/>
        <w:rPr>
          <w:sz w:val="24"/>
          <w:szCs w:val="24"/>
        </w:rPr>
      </w:pPr>
    </w:p>
    <w:p w14:paraId="67D35B5A" w14:textId="5F49AF0C" w:rsidR="0067277A" w:rsidRDefault="0067277A" w:rsidP="0067277A">
      <w:pPr>
        <w:pStyle w:val="BodyText"/>
        <w:ind w:firstLine="720"/>
        <w:jc w:val="both"/>
        <w:rPr>
          <w:sz w:val="24"/>
          <w:szCs w:val="24"/>
        </w:rPr>
      </w:pPr>
      <w:r w:rsidRPr="00CD05D2">
        <w:rPr>
          <w:sz w:val="24"/>
          <w:szCs w:val="24"/>
        </w:rPr>
        <w:t xml:space="preserve"> </w:t>
      </w:r>
      <w:r w:rsidRPr="00CD05D2">
        <w:rPr>
          <w:b/>
          <w:sz w:val="24"/>
          <w:szCs w:val="24"/>
        </w:rPr>
        <w:t xml:space="preserve"> </w:t>
      </w:r>
      <w:bookmarkStart w:id="1" w:name="_Hlk116833092"/>
      <w:r w:rsidRPr="004508ED">
        <w:rPr>
          <w:noProof/>
        </w:rPr>
        <w:drawing>
          <wp:inline distT="0" distB="0" distL="0" distR="0" wp14:anchorId="70784383" wp14:editId="3DB2461E">
            <wp:extent cx="6479540" cy="2611662"/>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003" t="13008" r="1494"/>
                    <a:stretch/>
                  </pic:blipFill>
                  <pic:spPr bwMode="auto">
                    <a:xfrm>
                      <a:off x="0" y="0"/>
                      <a:ext cx="6480000" cy="2611847"/>
                    </a:xfrm>
                    <a:prstGeom prst="rect">
                      <a:avLst/>
                    </a:prstGeom>
                    <a:noFill/>
                    <a:ln>
                      <a:noFill/>
                    </a:ln>
                    <a:extLst>
                      <a:ext uri="{53640926-AAD7-44D8-BBD7-CCE9431645EC}">
                        <a14:shadowObscured xmlns:a14="http://schemas.microsoft.com/office/drawing/2010/main"/>
                      </a:ext>
                    </a:extLst>
                  </pic:spPr>
                </pic:pic>
              </a:graphicData>
            </a:graphic>
          </wp:inline>
        </w:drawing>
      </w:r>
      <w:bookmarkEnd w:id="1"/>
      <w:r w:rsidRPr="00CD05D2">
        <w:rPr>
          <w:sz w:val="24"/>
          <w:szCs w:val="24"/>
        </w:rPr>
        <w:tab/>
      </w:r>
      <w:r w:rsidRPr="00CD05D2">
        <w:rPr>
          <w:sz w:val="24"/>
          <w:szCs w:val="24"/>
        </w:rPr>
        <w:tab/>
        <w:t>Figure A4: Bridging test at 300</w:t>
      </w:r>
      <w:r>
        <w:rPr>
          <w:sz w:val="24"/>
          <w:szCs w:val="24"/>
        </w:rPr>
        <w:t xml:space="preserve"> </w:t>
      </w:r>
      <w:r w:rsidRPr="00F03262">
        <w:rPr>
          <w:rFonts w:ascii="Symbol" w:hAnsi="Symbol"/>
          <w:sz w:val="24"/>
          <w:szCs w:val="24"/>
        </w:rPr>
        <w:t>m</w:t>
      </w:r>
      <w:r>
        <w:rPr>
          <w:sz w:val="24"/>
          <w:szCs w:val="24"/>
        </w:rPr>
        <w:t>m</w:t>
      </w:r>
      <w:r w:rsidRPr="00CD05D2">
        <w:rPr>
          <w:sz w:val="24"/>
          <w:szCs w:val="24"/>
        </w:rPr>
        <w:t xml:space="preserve"> slot </w:t>
      </w:r>
    </w:p>
    <w:p w14:paraId="32648A66" w14:textId="77777777" w:rsidR="0067277A" w:rsidRPr="00CD05D2" w:rsidRDefault="0067277A" w:rsidP="0067277A">
      <w:pPr>
        <w:pStyle w:val="BodyText"/>
        <w:rPr>
          <w:sz w:val="24"/>
          <w:szCs w:val="24"/>
        </w:rPr>
      </w:pPr>
      <w:r>
        <w:rPr>
          <w:noProof/>
          <w:sz w:val="24"/>
          <w:szCs w:val="24"/>
        </w:rPr>
        <w:lastRenderedPageBreak/>
        <w:drawing>
          <wp:inline distT="0" distB="0" distL="0" distR="0" wp14:anchorId="619323B8" wp14:editId="64CE2328">
            <wp:extent cx="6478905" cy="2446638"/>
            <wp:effectExtent l="0" t="0" r="0" b="0"/>
            <wp:docPr id="51" name="Bild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b="3568"/>
                    <a:stretch/>
                  </pic:blipFill>
                  <pic:spPr bwMode="auto">
                    <a:xfrm>
                      <a:off x="0" y="0"/>
                      <a:ext cx="6482989" cy="2448180"/>
                    </a:xfrm>
                    <a:prstGeom prst="rect">
                      <a:avLst/>
                    </a:prstGeom>
                    <a:noFill/>
                    <a:ln>
                      <a:noFill/>
                    </a:ln>
                    <a:extLst>
                      <a:ext uri="{53640926-AAD7-44D8-BBD7-CCE9431645EC}">
                        <a14:shadowObscured xmlns:a14="http://schemas.microsoft.com/office/drawing/2010/main"/>
                      </a:ext>
                    </a:extLst>
                  </pic:spPr>
                </pic:pic>
              </a:graphicData>
            </a:graphic>
          </wp:inline>
        </w:drawing>
      </w:r>
    </w:p>
    <w:p w14:paraId="561E4AD0" w14:textId="77777777" w:rsidR="0067277A" w:rsidRPr="00CD05D2" w:rsidRDefault="0067277A" w:rsidP="0067277A">
      <w:pPr>
        <w:pStyle w:val="BodyText"/>
        <w:ind w:left="720" w:firstLine="720"/>
        <w:rPr>
          <w:sz w:val="24"/>
          <w:szCs w:val="24"/>
        </w:rPr>
      </w:pPr>
      <w:r w:rsidRPr="00CD05D2">
        <w:rPr>
          <w:sz w:val="24"/>
          <w:szCs w:val="24"/>
        </w:rPr>
        <w:t>Figure A5: Bridging test at 400</w:t>
      </w:r>
      <w:r>
        <w:rPr>
          <w:sz w:val="24"/>
          <w:szCs w:val="24"/>
        </w:rPr>
        <w:t xml:space="preserve"> </w:t>
      </w:r>
      <w:r w:rsidRPr="00F03262">
        <w:rPr>
          <w:rFonts w:ascii="Symbol" w:hAnsi="Symbol"/>
          <w:sz w:val="24"/>
          <w:szCs w:val="24"/>
        </w:rPr>
        <w:t>m</w:t>
      </w:r>
      <w:r>
        <w:rPr>
          <w:sz w:val="24"/>
          <w:szCs w:val="24"/>
        </w:rPr>
        <w:t>m</w:t>
      </w:r>
      <w:r w:rsidRPr="00CD05D2">
        <w:rPr>
          <w:sz w:val="24"/>
          <w:szCs w:val="24"/>
        </w:rPr>
        <w:t xml:space="preserve"> slot</w:t>
      </w:r>
      <w:r w:rsidRPr="00CD05D2">
        <w:rPr>
          <w:sz w:val="24"/>
          <w:szCs w:val="24"/>
        </w:rPr>
        <w:tab/>
      </w:r>
      <w:r w:rsidRPr="00CD05D2">
        <w:rPr>
          <w:sz w:val="24"/>
          <w:szCs w:val="24"/>
        </w:rPr>
        <w:tab/>
      </w:r>
    </w:p>
    <w:p w14:paraId="6328ECA5" w14:textId="77777777" w:rsidR="0067277A" w:rsidRDefault="0067277A" w:rsidP="0067277A">
      <w:pPr>
        <w:pStyle w:val="BodyText"/>
        <w:rPr>
          <w:sz w:val="24"/>
          <w:szCs w:val="24"/>
        </w:rPr>
      </w:pPr>
      <w:bookmarkStart w:id="2" w:name="_Hlk116833286"/>
      <w:r w:rsidRPr="00B6051D">
        <w:rPr>
          <w:noProof/>
        </w:rPr>
        <w:drawing>
          <wp:inline distT="0" distB="0" distL="0" distR="0" wp14:anchorId="5327A327" wp14:editId="32AADF0B">
            <wp:extent cx="6477969" cy="2248929"/>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8715"/>
                    <a:stretch/>
                  </pic:blipFill>
                  <pic:spPr bwMode="auto">
                    <a:xfrm>
                      <a:off x="0" y="0"/>
                      <a:ext cx="6485615" cy="2251583"/>
                    </a:xfrm>
                    <a:prstGeom prst="rect">
                      <a:avLst/>
                    </a:prstGeom>
                    <a:noFill/>
                    <a:ln>
                      <a:noFill/>
                    </a:ln>
                    <a:extLst>
                      <a:ext uri="{53640926-AAD7-44D8-BBD7-CCE9431645EC}">
                        <a14:shadowObscured xmlns:a14="http://schemas.microsoft.com/office/drawing/2010/main"/>
                      </a:ext>
                    </a:extLst>
                  </pic:spPr>
                </pic:pic>
              </a:graphicData>
            </a:graphic>
          </wp:inline>
        </w:drawing>
      </w:r>
      <w:bookmarkEnd w:id="2"/>
    </w:p>
    <w:p w14:paraId="340B630A" w14:textId="77777777" w:rsidR="0067277A" w:rsidRPr="00CD05D2" w:rsidRDefault="0067277A" w:rsidP="0067277A">
      <w:pPr>
        <w:pStyle w:val="BodyText"/>
        <w:ind w:left="720" w:firstLine="720"/>
        <w:rPr>
          <w:sz w:val="24"/>
          <w:szCs w:val="24"/>
        </w:rPr>
      </w:pPr>
      <w:r w:rsidRPr="00CD05D2">
        <w:rPr>
          <w:sz w:val="24"/>
          <w:szCs w:val="24"/>
        </w:rPr>
        <w:t>Figure A6: Bridging test at 500</w:t>
      </w:r>
      <w:r>
        <w:rPr>
          <w:sz w:val="24"/>
          <w:szCs w:val="24"/>
        </w:rPr>
        <w:t xml:space="preserve"> </w:t>
      </w:r>
      <w:r w:rsidRPr="00F03262">
        <w:rPr>
          <w:rFonts w:ascii="Symbol" w:hAnsi="Symbol"/>
          <w:sz w:val="24"/>
          <w:szCs w:val="24"/>
        </w:rPr>
        <w:t>m</w:t>
      </w:r>
      <w:r>
        <w:rPr>
          <w:sz w:val="24"/>
          <w:szCs w:val="24"/>
        </w:rPr>
        <w:t>m</w:t>
      </w:r>
      <w:r w:rsidRPr="00CD05D2">
        <w:rPr>
          <w:sz w:val="24"/>
          <w:szCs w:val="24"/>
        </w:rPr>
        <w:t xml:space="preserve"> slot </w:t>
      </w:r>
    </w:p>
    <w:p w14:paraId="33E33C18" w14:textId="77777777" w:rsidR="0067277A" w:rsidRPr="00CD05D2" w:rsidRDefault="0067277A" w:rsidP="0067277A">
      <w:pPr>
        <w:pStyle w:val="Heading3"/>
        <w:numPr>
          <w:ilvl w:val="0"/>
          <w:numId w:val="0"/>
        </w:numPr>
        <w:ind w:left="567" w:hanging="567"/>
        <w:rPr>
          <w:rFonts w:cs="Times New Roman"/>
        </w:rPr>
      </w:pPr>
      <w:r w:rsidRPr="00CD05D2">
        <w:rPr>
          <w:rFonts w:cs="Times New Roman"/>
        </w:rPr>
        <w:t xml:space="preserve">Pellet synthesis  </w:t>
      </w:r>
    </w:p>
    <w:p w14:paraId="2F8526CF" w14:textId="77777777" w:rsidR="0067277A" w:rsidRPr="00CD05D2" w:rsidRDefault="0067277A" w:rsidP="0067277A">
      <w:pPr>
        <w:ind w:right="-567"/>
        <w:jc w:val="both"/>
        <w:rPr>
          <w:rFonts w:cs="Times New Roman"/>
          <w:szCs w:val="24"/>
        </w:rPr>
      </w:pPr>
      <w:r w:rsidRPr="00063A9E">
        <w:rPr>
          <w:rFonts w:cs="Times New Roman"/>
          <w:szCs w:val="24"/>
        </w:rPr>
        <w:t>Table A3:</w:t>
      </w:r>
      <w:r w:rsidRPr="00CD05D2">
        <w:rPr>
          <w:rFonts w:cs="Times New Roman"/>
          <w:szCs w:val="24"/>
        </w:rPr>
        <w:t xml:space="preserve"> Pellets mineralogical concentration in gram/percentage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67"/>
        <w:gridCol w:w="2480"/>
        <w:gridCol w:w="1247"/>
        <w:gridCol w:w="1043"/>
        <w:gridCol w:w="941"/>
        <w:gridCol w:w="1021"/>
        <w:gridCol w:w="993"/>
      </w:tblGrid>
      <w:tr w:rsidR="0067277A" w:rsidRPr="00CD05D2" w14:paraId="1D8F9FB8" w14:textId="77777777" w:rsidTr="00265D4F">
        <w:trPr>
          <w:jc w:val="center"/>
        </w:trPr>
        <w:tc>
          <w:tcPr>
            <w:tcW w:w="568" w:type="dxa"/>
            <w:vMerge w:val="restart"/>
            <w:shd w:val="clear" w:color="auto" w:fill="EDEDED" w:themeFill="accent3" w:themeFillTint="33"/>
          </w:tcPr>
          <w:p w14:paraId="222E8E9F" w14:textId="77777777" w:rsidR="0067277A" w:rsidRPr="00CD05D2" w:rsidRDefault="0067277A" w:rsidP="00265D4F">
            <w:pPr>
              <w:pStyle w:val="NoSpacing"/>
            </w:pPr>
            <w:r w:rsidRPr="00CD05D2">
              <w:t>#</w:t>
            </w:r>
          </w:p>
        </w:tc>
        <w:tc>
          <w:tcPr>
            <w:tcW w:w="1767" w:type="dxa"/>
            <w:vMerge w:val="restart"/>
            <w:shd w:val="clear" w:color="auto" w:fill="EDEDED" w:themeFill="accent3" w:themeFillTint="33"/>
          </w:tcPr>
          <w:p w14:paraId="6F221ECF" w14:textId="77777777" w:rsidR="0067277A" w:rsidRPr="00CD05D2" w:rsidRDefault="0067277A" w:rsidP="00265D4F">
            <w:pPr>
              <w:pStyle w:val="NoSpacing"/>
            </w:pPr>
            <w:r w:rsidRPr="00CD05D2">
              <w:t>Pellets</w:t>
            </w:r>
          </w:p>
          <w:p w14:paraId="0B04DC1F" w14:textId="77777777" w:rsidR="0067277A" w:rsidRPr="00CD05D2" w:rsidRDefault="0067277A" w:rsidP="00265D4F">
            <w:pPr>
              <w:pStyle w:val="NoSpacing"/>
            </w:pPr>
            <w:r w:rsidRPr="00CD05D2">
              <w:t>Type</w:t>
            </w:r>
          </w:p>
        </w:tc>
        <w:tc>
          <w:tcPr>
            <w:tcW w:w="2480" w:type="dxa"/>
            <w:vMerge w:val="restart"/>
            <w:shd w:val="clear" w:color="auto" w:fill="EDEDED" w:themeFill="accent3" w:themeFillTint="33"/>
          </w:tcPr>
          <w:p w14:paraId="547D3A8C" w14:textId="77777777" w:rsidR="0067277A" w:rsidRPr="00CD05D2" w:rsidRDefault="0067277A" w:rsidP="00265D4F">
            <w:pPr>
              <w:pStyle w:val="NoSpacing"/>
            </w:pPr>
            <w:r w:rsidRPr="00CD05D2">
              <w:t>This paperwork</w:t>
            </w:r>
          </w:p>
          <w:p w14:paraId="633BE9EB" w14:textId="77777777" w:rsidR="0067277A" w:rsidRPr="00CD05D2" w:rsidRDefault="0067277A" w:rsidP="00265D4F">
            <w:pPr>
              <w:pStyle w:val="NoSpacing"/>
            </w:pPr>
            <w:r w:rsidRPr="00CD05D2">
              <w:t>Pellets</w:t>
            </w:r>
          </w:p>
        </w:tc>
        <w:tc>
          <w:tcPr>
            <w:tcW w:w="5245" w:type="dxa"/>
            <w:gridSpan w:val="5"/>
            <w:shd w:val="clear" w:color="auto" w:fill="EDEDED" w:themeFill="accent3" w:themeFillTint="33"/>
          </w:tcPr>
          <w:p w14:paraId="0C89CD24" w14:textId="77777777" w:rsidR="0067277A" w:rsidRPr="00CD05D2" w:rsidRDefault="0067277A" w:rsidP="00265D4F">
            <w:pPr>
              <w:pStyle w:val="NoSpacing"/>
              <w:jc w:val="center"/>
              <w:rPr>
                <w:b/>
                <w:bCs/>
              </w:rPr>
            </w:pPr>
            <w:r w:rsidRPr="00CD05D2">
              <w:rPr>
                <w:b/>
                <w:bCs/>
                <w:sz w:val="28"/>
                <w:szCs w:val="24"/>
              </w:rPr>
              <w:t>Mineral composition</w:t>
            </w:r>
          </w:p>
        </w:tc>
      </w:tr>
      <w:tr w:rsidR="0067277A" w:rsidRPr="00CD05D2" w14:paraId="5E84ACDD" w14:textId="77777777" w:rsidTr="00265D4F">
        <w:trPr>
          <w:jc w:val="center"/>
        </w:trPr>
        <w:tc>
          <w:tcPr>
            <w:tcW w:w="568" w:type="dxa"/>
            <w:vMerge/>
            <w:shd w:val="clear" w:color="auto" w:fill="EDEDED" w:themeFill="accent3" w:themeFillTint="33"/>
          </w:tcPr>
          <w:p w14:paraId="29EF0DD1" w14:textId="77777777" w:rsidR="0067277A" w:rsidRPr="00CD05D2" w:rsidRDefault="0067277A" w:rsidP="00265D4F">
            <w:pPr>
              <w:pStyle w:val="NoSpacing"/>
            </w:pPr>
          </w:p>
        </w:tc>
        <w:tc>
          <w:tcPr>
            <w:tcW w:w="1767" w:type="dxa"/>
            <w:vMerge/>
            <w:shd w:val="clear" w:color="auto" w:fill="EDEDED" w:themeFill="accent3" w:themeFillTint="33"/>
          </w:tcPr>
          <w:p w14:paraId="52F1D8B3" w14:textId="77777777" w:rsidR="0067277A" w:rsidRPr="00CD05D2" w:rsidRDefault="0067277A" w:rsidP="00265D4F">
            <w:pPr>
              <w:pStyle w:val="NoSpacing"/>
            </w:pPr>
          </w:p>
        </w:tc>
        <w:tc>
          <w:tcPr>
            <w:tcW w:w="2480" w:type="dxa"/>
            <w:vMerge/>
            <w:shd w:val="clear" w:color="auto" w:fill="EDEDED" w:themeFill="accent3" w:themeFillTint="33"/>
          </w:tcPr>
          <w:p w14:paraId="231339B3" w14:textId="77777777" w:rsidR="0067277A" w:rsidRPr="00CD05D2" w:rsidRDefault="0067277A" w:rsidP="00265D4F">
            <w:pPr>
              <w:pStyle w:val="NoSpacing"/>
            </w:pPr>
          </w:p>
        </w:tc>
        <w:tc>
          <w:tcPr>
            <w:tcW w:w="1247" w:type="dxa"/>
            <w:shd w:val="clear" w:color="auto" w:fill="EDEDED" w:themeFill="accent3" w:themeFillTint="33"/>
          </w:tcPr>
          <w:p w14:paraId="3399465E" w14:textId="77777777" w:rsidR="0067277A" w:rsidRPr="00CD05D2" w:rsidRDefault="0067277A" w:rsidP="00265D4F">
            <w:pPr>
              <w:pStyle w:val="NoSpacing"/>
            </w:pPr>
            <w:r w:rsidRPr="00CD05D2">
              <w:t>Bentonite</w:t>
            </w:r>
          </w:p>
        </w:tc>
        <w:tc>
          <w:tcPr>
            <w:tcW w:w="1043" w:type="dxa"/>
            <w:shd w:val="clear" w:color="auto" w:fill="EDEDED" w:themeFill="accent3" w:themeFillTint="33"/>
          </w:tcPr>
          <w:p w14:paraId="1A2D62C9" w14:textId="77777777" w:rsidR="0067277A" w:rsidRPr="00CD05D2" w:rsidRDefault="0067277A" w:rsidP="00265D4F">
            <w:pPr>
              <w:pStyle w:val="NoSpacing"/>
            </w:pPr>
            <w:r w:rsidRPr="00CD05D2">
              <w:t>Feldspar</w:t>
            </w:r>
          </w:p>
        </w:tc>
        <w:tc>
          <w:tcPr>
            <w:tcW w:w="941" w:type="dxa"/>
            <w:shd w:val="clear" w:color="auto" w:fill="EDEDED" w:themeFill="accent3" w:themeFillTint="33"/>
          </w:tcPr>
          <w:p w14:paraId="5A337C4E" w14:textId="77777777" w:rsidR="0067277A" w:rsidRPr="00CD05D2" w:rsidRDefault="0067277A" w:rsidP="00265D4F">
            <w:pPr>
              <w:pStyle w:val="NoSpacing"/>
            </w:pPr>
            <w:r w:rsidRPr="00CD05D2">
              <w:t>Quartz</w:t>
            </w:r>
          </w:p>
        </w:tc>
        <w:tc>
          <w:tcPr>
            <w:tcW w:w="1021" w:type="dxa"/>
            <w:shd w:val="clear" w:color="auto" w:fill="EDEDED" w:themeFill="accent3" w:themeFillTint="33"/>
          </w:tcPr>
          <w:p w14:paraId="04349A86" w14:textId="77777777" w:rsidR="0067277A" w:rsidRPr="00CD05D2" w:rsidRDefault="0067277A" w:rsidP="00265D4F">
            <w:pPr>
              <w:pStyle w:val="NoSpacing"/>
            </w:pPr>
            <w:r w:rsidRPr="00CD05D2">
              <w:rPr>
                <w:color w:val="000000"/>
                <w:lang w:eastAsia="nb-NO"/>
              </w:rPr>
              <w:t>Calcite</w:t>
            </w:r>
          </w:p>
        </w:tc>
        <w:tc>
          <w:tcPr>
            <w:tcW w:w="993" w:type="dxa"/>
            <w:shd w:val="clear" w:color="auto" w:fill="EDEDED" w:themeFill="accent3" w:themeFillTint="33"/>
          </w:tcPr>
          <w:p w14:paraId="7118C684" w14:textId="77777777" w:rsidR="0067277A" w:rsidRPr="00CD05D2" w:rsidRDefault="0067277A" w:rsidP="00265D4F">
            <w:pPr>
              <w:pStyle w:val="NoSpacing"/>
              <w:rPr>
                <w:color w:val="000000"/>
                <w:lang w:eastAsia="nb-NO"/>
              </w:rPr>
            </w:pPr>
            <w:r w:rsidRPr="00CD05D2">
              <w:rPr>
                <w:color w:val="000000"/>
                <w:lang w:eastAsia="nb-NO"/>
              </w:rPr>
              <w:t>Others</w:t>
            </w:r>
          </w:p>
        </w:tc>
      </w:tr>
      <w:tr w:rsidR="0067277A" w:rsidRPr="00CD05D2" w14:paraId="00B6A8F7" w14:textId="77777777" w:rsidTr="00265D4F">
        <w:trPr>
          <w:jc w:val="center"/>
        </w:trPr>
        <w:tc>
          <w:tcPr>
            <w:tcW w:w="568" w:type="dxa"/>
          </w:tcPr>
          <w:p w14:paraId="22E87E51" w14:textId="77777777" w:rsidR="0067277A" w:rsidRPr="00CD05D2" w:rsidRDefault="0067277A" w:rsidP="00265D4F">
            <w:pPr>
              <w:pStyle w:val="NoSpacing"/>
            </w:pPr>
            <w:r w:rsidRPr="00CD05D2">
              <w:t>1</w:t>
            </w:r>
          </w:p>
        </w:tc>
        <w:tc>
          <w:tcPr>
            <w:tcW w:w="1767" w:type="dxa"/>
          </w:tcPr>
          <w:p w14:paraId="4C42AFB5" w14:textId="77777777" w:rsidR="0067277A" w:rsidRPr="00CD05D2" w:rsidRDefault="0067277A" w:rsidP="00265D4F">
            <w:pPr>
              <w:pStyle w:val="NoSpacing"/>
              <w:rPr>
                <w:sz w:val="22"/>
                <w:szCs w:val="20"/>
              </w:rPr>
            </w:pPr>
            <w:r w:rsidRPr="00CD05D2">
              <w:rPr>
                <w:sz w:val="22"/>
                <w:szCs w:val="20"/>
              </w:rPr>
              <w:t>Bentonite-I</w:t>
            </w:r>
          </w:p>
        </w:tc>
        <w:tc>
          <w:tcPr>
            <w:tcW w:w="2480" w:type="dxa"/>
            <w:vMerge w:val="restart"/>
          </w:tcPr>
          <w:p w14:paraId="355B9B21" w14:textId="77777777" w:rsidR="0067277A" w:rsidRPr="00CD05D2" w:rsidRDefault="0067277A" w:rsidP="00265D4F">
            <w:pPr>
              <w:pStyle w:val="NoSpacing"/>
              <w:rPr>
                <w:sz w:val="22"/>
                <w:szCs w:val="20"/>
              </w:rPr>
            </w:pPr>
          </w:p>
          <w:p w14:paraId="165B1BCE" w14:textId="77777777" w:rsidR="0067277A" w:rsidRPr="00CD05D2" w:rsidRDefault="0067277A" w:rsidP="00265D4F">
            <w:pPr>
              <w:pStyle w:val="NoSpacing"/>
              <w:rPr>
                <w:sz w:val="22"/>
                <w:szCs w:val="20"/>
              </w:rPr>
            </w:pPr>
            <w:r w:rsidRPr="00CD05D2">
              <w:rPr>
                <w:sz w:val="22"/>
                <w:szCs w:val="20"/>
              </w:rPr>
              <w:t>This work’s pellet</w:t>
            </w:r>
          </w:p>
        </w:tc>
        <w:tc>
          <w:tcPr>
            <w:tcW w:w="1247" w:type="dxa"/>
          </w:tcPr>
          <w:p w14:paraId="40466702" w14:textId="77777777" w:rsidR="0067277A" w:rsidRPr="00CD05D2" w:rsidRDefault="0067277A" w:rsidP="00265D4F">
            <w:pPr>
              <w:pStyle w:val="NoSpacing"/>
              <w:rPr>
                <w:sz w:val="22"/>
                <w:szCs w:val="20"/>
              </w:rPr>
            </w:pPr>
            <w:r w:rsidRPr="00CD05D2">
              <w:rPr>
                <w:sz w:val="22"/>
                <w:szCs w:val="20"/>
              </w:rPr>
              <w:t>100%</w:t>
            </w:r>
          </w:p>
        </w:tc>
        <w:tc>
          <w:tcPr>
            <w:tcW w:w="1043" w:type="dxa"/>
          </w:tcPr>
          <w:p w14:paraId="67EA81E7" w14:textId="77777777" w:rsidR="0067277A" w:rsidRPr="00CD05D2" w:rsidRDefault="0067277A" w:rsidP="00265D4F">
            <w:pPr>
              <w:pStyle w:val="NoSpacing"/>
              <w:rPr>
                <w:sz w:val="22"/>
                <w:szCs w:val="20"/>
              </w:rPr>
            </w:pPr>
            <w:r w:rsidRPr="00CD05D2">
              <w:rPr>
                <w:sz w:val="22"/>
                <w:szCs w:val="20"/>
              </w:rPr>
              <w:t>-</w:t>
            </w:r>
          </w:p>
        </w:tc>
        <w:tc>
          <w:tcPr>
            <w:tcW w:w="941" w:type="dxa"/>
          </w:tcPr>
          <w:p w14:paraId="2A867461" w14:textId="77777777" w:rsidR="0067277A" w:rsidRPr="00CD05D2" w:rsidRDefault="0067277A" w:rsidP="00265D4F">
            <w:pPr>
              <w:pStyle w:val="NoSpacing"/>
              <w:rPr>
                <w:sz w:val="22"/>
                <w:szCs w:val="20"/>
              </w:rPr>
            </w:pPr>
            <w:r w:rsidRPr="00CD05D2">
              <w:rPr>
                <w:sz w:val="22"/>
                <w:szCs w:val="20"/>
              </w:rPr>
              <w:t>-</w:t>
            </w:r>
          </w:p>
        </w:tc>
        <w:tc>
          <w:tcPr>
            <w:tcW w:w="1021" w:type="dxa"/>
          </w:tcPr>
          <w:p w14:paraId="032B7194" w14:textId="77777777" w:rsidR="0067277A" w:rsidRPr="00CD05D2" w:rsidRDefault="0067277A" w:rsidP="00265D4F">
            <w:pPr>
              <w:pStyle w:val="NoSpacing"/>
              <w:rPr>
                <w:color w:val="000000"/>
                <w:sz w:val="22"/>
                <w:szCs w:val="20"/>
                <w:lang w:eastAsia="nb-NO"/>
              </w:rPr>
            </w:pPr>
            <w:r w:rsidRPr="00CD05D2">
              <w:rPr>
                <w:color w:val="000000"/>
                <w:sz w:val="22"/>
                <w:szCs w:val="20"/>
                <w:lang w:eastAsia="nb-NO"/>
              </w:rPr>
              <w:t>-</w:t>
            </w:r>
          </w:p>
        </w:tc>
        <w:tc>
          <w:tcPr>
            <w:tcW w:w="993" w:type="dxa"/>
          </w:tcPr>
          <w:p w14:paraId="34B0E10E" w14:textId="77777777" w:rsidR="0067277A" w:rsidRPr="00CD05D2" w:rsidRDefault="0067277A" w:rsidP="00265D4F">
            <w:pPr>
              <w:pStyle w:val="NoSpacing"/>
              <w:rPr>
                <w:color w:val="000000"/>
                <w:lang w:eastAsia="nb-NO"/>
              </w:rPr>
            </w:pPr>
            <w:r w:rsidRPr="00CD05D2">
              <w:rPr>
                <w:color w:val="000000"/>
                <w:lang w:eastAsia="nb-NO"/>
              </w:rPr>
              <w:t>-</w:t>
            </w:r>
          </w:p>
        </w:tc>
      </w:tr>
      <w:tr w:rsidR="0067277A" w:rsidRPr="00CD05D2" w14:paraId="7F20E742" w14:textId="77777777" w:rsidTr="00265D4F">
        <w:trPr>
          <w:trHeight w:val="185"/>
          <w:jc w:val="center"/>
        </w:trPr>
        <w:tc>
          <w:tcPr>
            <w:tcW w:w="568" w:type="dxa"/>
          </w:tcPr>
          <w:p w14:paraId="7A7CABCC" w14:textId="77777777" w:rsidR="0067277A" w:rsidRPr="00CD05D2" w:rsidRDefault="0067277A" w:rsidP="00265D4F">
            <w:pPr>
              <w:pStyle w:val="NoSpacing"/>
            </w:pPr>
            <w:r w:rsidRPr="00CD05D2">
              <w:t>2</w:t>
            </w:r>
          </w:p>
        </w:tc>
        <w:tc>
          <w:tcPr>
            <w:tcW w:w="1767" w:type="dxa"/>
          </w:tcPr>
          <w:p w14:paraId="1BD7A76D" w14:textId="77777777" w:rsidR="0067277A" w:rsidRPr="00CD05D2" w:rsidRDefault="0067277A" w:rsidP="00265D4F">
            <w:pPr>
              <w:pStyle w:val="NoSpacing"/>
              <w:rPr>
                <w:sz w:val="22"/>
                <w:szCs w:val="20"/>
              </w:rPr>
            </w:pPr>
            <w:r w:rsidRPr="00CD05D2">
              <w:rPr>
                <w:sz w:val="22"/>
                <w:szCs w:val="20"/>
              </w:rPr>
              <w:t xml:space="preserve">Bentonite-II </w:t>
            </w:r>
          </w:p>
        </w:tc>
        <w:tc>
          <w:tcPr>
            <w:tcW w:w="2480" w:type="dxa"/>
            <w:vMerge/>
          </w:tcPr>
          <w:p w14:paraId="3B3EB86B" w14:textId="77777777" w:rsidR="0067277A" w:rsidRPr="00CD05D2" w:rsidRDefault="0067277A" w:rsidP="00265D4F">
            <w:pPr>
              <w:pStyle w:val="NoSpacing"/>
              <w:rPr>
                <w:sz w:val="22"/>
                <w:szCs w:val="20"/>
              </w:rPr>
            </w:pPr>
          </w:p>
        </w:tc>
        <w:tc>
          <w:tcPr>
            <w:tcW w:w="1247" w:type="dxa"/>
          </w:tcPr>
          <w:p w14:paraId="7035C712" w14:textId="77777777" w:rsidR="0067277A" w:rsidRPr="00CD05D2" w:rsidRDefault="0067277A" w:rsidP="00265D4F">
            <w:pPr>
              <w:pStyle w:val="NoSpacing"/>
              <w:rPr>
                <w:sz w:val="22"/>
                <w:szCs w:val="20"/>
              </w:rPr>
            </w:pPr>
            <w:r w:rsidRPr="00CD05D2">
              <w:rPr>
                <w:sz w:val="22"/>
                <w:szCs w:val="20"/>
              </w:rPr>
              <w:t>93.1%wt</w:t>
            </w:r>
          </w:p>
        </w:tc>
        <w:tc>
          <w:tcPr>
            <w:tcW w:w="1043" w:type="dxa"/>
          </w:tcPr>
          <w:p w14:paraId="5A22F473" w14:textId="77777777" w:rsidR="0067277A" w:rsidRPr="00CD05D2" w:rsidRDefault="0067277A" w:rsidP="00265D4F">
            <w:pPr>
              <w:pStyle w:val="NoSpacing"/>
              <w:rPr>
                <w:sz w:val="22"/>
                <w:szCs w:val="20"/>
              </w:rPr>
            </w:pPr>
            <w:r w:rsidRPr="00CD05D2">
              <w:rPr>
                <w:sz w:val="22"/>
                <w:szCs w:val="20"/>
              </w:rPr>
              <w:t>3.45%wt</w:t>
            </w:r>
          </w:p>
        </w:tc>
        <w:tc>
          <w:tcPr>
            <w:tcW w:w="941" w:type="dxa"/>
          </w:tcPr>
          <w:p w14:paraId="0A08C3CF" w14:textId="77777777" w:rsidR="0067277A" w:rsidRPr="00CD05D2" w:rsidRDefault="0067277A" w:rsidP="00265D4F">
            <w:pPr>
              <w:pStyle w:val="NoSpacing"/>
              <w:rPr>
                <w:sz w:val="22"/>
                <w:szCs w:val="20"/>
              </w:rPr>
            </w:pPr>
            <w:r w:rsidRPr="00CD05D2">
              <w:rPr>
                <w:sz w:val="22"/>
                <w:szCs w:val="20"/>
              </w:rPr>
              <w:t>3.46%wt</w:t>
            </w:r>
          </w:p>
        </w:tc>
        <w:tc>
          <w:tcPr>
            <w:tcW w:w="1021" w:type="dxa"/>
          </w:tcPr>
          <w:p w14:paraId="0D4CA27C" w14:textId="77777777" w:rsidR="0067277A" w:rsidRPr="00CD05D2" w:rsidRDefault="0067277A" w:rsidP="00265D4F">
            <w:pPr>
              <w:pStyle w:val="NoSpacing"/>
              <w:rPr>
                <w:sz w:val="22"/>
                <w:szCs w:val="20"/>
              </w:rPr>
            </w:pPr>
          </w:p>
        </w:tc>
        <w:tc>
          <w:tcPr>
            <w:tcW w:w="993" w:type="dxa"/>
          </w:tcPr>
          <w:p w14:paraId="5002310F" w14:textId="77777777" w:rsidR="0067277A" w:rsidRPr="00CD05D2" w:rsidRDefault="0067277A" w:rsidP="00265D4F">
            <w:pPr>
              <w:pStyle w:val="NoSpacing"/>
            </w:pPr>
          </w:p>
        </w:tc>
      </w:tr>
      <w:tr w:rsidR="0067277A" w:rsidRPr="00CD05D2" w14:paraId="04729D6F" w14:textId="77777777" w:rsidTr="00265D4F">
        <w:trPr>
          <w:jc w:val="center"/>
        </w:trPr>
        <w:tc>
          <w:tcPr>
            <w:tcW w:w="568" w:type="dxa"/>
          </w:tcPr>
          <w:p w14:paraId="2C54D4E0" w14:textId="77777777" w:rsidR="0067277A" w:rsidRPr="00CD05D2" w:rsidRDefault="0067277A" w:rsidP="00265D4F">
            <w:pPr>
              <w:pStyle w:val="NoSpacing"/>
            </w:pPr>
            <w:r w:rsidRPr="00CD05D2">
              <w:t>3</w:t>
            </w:r>
          </w:p>
        </w:tc>
        <w:tc>
          <w:tcPr>
            <w:tcW w:w="1767" w:type="dxa"/>
          </w:tcPr>
          <w:p w14:paraId="4D775FA1" w14:textId="77777777" w:rsidR="0067277A" w:rsidRPr="00CD05D2" w:rsidRDefault="0067277A" w:rsidP="00265D4F">
            <w:pPr>
              <w:pStyle w:val="NoSpacing"/>
              <w:rPr>
                <w:sz w:val="22"/>
                <w:szCs w:val="20"/>
              </w:rPr>
            </w:pPr>
            <w:r w:rsidRPr="00CD05D2">
              <w:rPr>
                <w:sz w:val="22"/>
                <w:szCs w:val="20"/>
              </w:rPr>
              <w:t xml:space="preserve">Texas Austin type </w:t>
            </w:r>
          </w:p>
        </w:tc>
        <w:tc>
          <w:tcPr>
            <w:tcW w:w="2480" w:type="dxa"/>
            <w:vMerge w:val="restart"/>
          </w:tcPr>
          <w:p w14:paraId="779C7D8D" w14:textId="77777777" w:rsidR="0067277A" w:rsidRPr="00CD05D2" w:rsidRDefault="0067277A" w:rsidP="00265D4F">
            <w:pPr>
              <w:pStyle w:val="NoSpacing"/>
              <w:rPr>
                <w:sz w:val="22"/>
                <w:szCs w:val="20"/>
              </w:rPr>
            </w:pPr>
            <w:r w:rsidRPr="00CD05D2">
              <w:rPr>
                <w:sz w:val="22"/>
                <w:szCs w:val="20"/>
              </w:rPr>
              <w:t>This work modified version of the reference [66]</w:t>
            </w:r>
          </w:p>
        </w:tc>
        <w:tc>
          <w:tcPr>
            <w:tcW w:w="1247" w:type="dxa"/>
          </w:tcPr>
          <w:p w14:paraId="498970CD" w14:textId="77777777" w:rsidR="0067277A" w:rsidRPr="00CD05D2" w:rsidRDefault="0067277A" w:rsidP="00265D4F">
            <w:pPr>
              <w:pStyle w:val="NoSpacing"/>
              <w:rPr>
                <w:color w:val="000000"/>
                <w:sz w:val="22"/>
                <w:szCs w:val="20"/>
                <w:lang w:eastAsia="nb-NO"/>
              </w:rPr>
            </w:pPr>
            <w:r w:rsidRPr="00CD05D2">
              <w:rPr>
                <w:color w:val="000000"/>
                <w:sz w:val="22"/>
                <w:szCs w:val="20"/>
                <w:lang w:eastAsia="nb-NO"/>
              </w:rPr>
              <w:t>30g</w:t>
            </w:r>
          </w:p>
        </w:tc>
        <w:tc>
          <w:tcPr>
            <w:tcW w:w="1043" w:type="dxa"/>
          </w:tcPr>
          <w:p w14:paraId="38B93593" w14:textId="77777777" w:rsidR="0067277A" w:rsidRPr="00CD05D2" w:rsidRDefault="0067277A" w:rsidP="00265D4F">
            <w:pPr>
              <w:pStyle w:val="NoSpacing"/>
              <w:rPr>
                <w:color w:val="000000"/>
                <w:sz w:val="22"/>
                <w:szCs w:val="20"/>
                <w:lang w:eastAsia="nb-NO"/>
              </w:rPr>
            </w:pPr>
            <w:r w:rsidRPr="00CD05D2">
              <w:rPr>
                <w:color w:val="000000"/>
                <w:sz w:val="22"/>
                <w:szCs w:val="20"/>
                <w:lang w:eastAsia="nb-NO"/>
              </w:rPr>
              <w:t>4g</w:t>
            </w:r>
          </w:p>
        </w:tc>
        <w:tc>
          <w:tcPr>
            <w:tcW w:w="941" w:type="dxa"/>
          </w:tcPr>
          <w:p w14:paraId="34491EB9" w14:textId="77777777" w:rsidR="0067277A" w:rsidRPr="00CD05D2" w:rsidRDefault="0067277A" w:rsidP="00265D4F">
            <w:pPr>
              <w:pStyle w:val="NoSpacing"/>
              <w:rPr>
                <w:color w:val="000000"/>
                <w:sz w:val="22"/>
                <w:szCs w:val="20"/>
                <w:lang w:eastAsia="nb-NO"/>
              </w:rPr>
            </w:pPr>
            <w:r w:rsidRPr="00CD05D2">
              <w:rPr>
                <w:color w:val="000000"/>
                <w:sz w:val="22"/>
                <w:szCs w:val="20"/>
                <w:lang w:eastAsia="nb-NO"/>
              </w:rPr>
              <w:t>49g</w:t>
            </w:r>
          </w:p>
        </w:tc>
        <w:tc>
          <w:tcPr>
            <w:tcW w:w="1021" w:type="dxa"/>
          </w:tcPr>
          <w:p w14:paraId="742C5C45" w14:textId="77777777" w:rsidR="0067277A" w:rsidRPr="00CD05D2" w:rsidRDefault="0067277A" w:rsidP="00265D4F">
            <w:pPr>
              <w:pStyle w:val="NoSpacing"/>
              <w:rPr>
                <w:color w:val="000000"/>
                <w:sz w:val="22"/>
                <w:szCs w:val="20"/>
                <w:lang w:eastAsia="nb-NO"/>
              </w:rPr>
            </w:pPr>
            <w:r w:rsidRPr="00CD05D2">
              <w:rPr>
                <w:color w:val="000000"/>
                <w:sz w:val="22"/>
                <w:szCs w:val="20"/>
                <w:lang w:eastAsia="nb-NO"/>
              </w:rPr>
              <w:t>17g</w:t>
            </w:r>
          </w:p>
        </w:tc>
        <w:tc>
          <w:tcPr>
            <w:tcW w:w="993" w:type="dxa"/>
          </w:tcPr>
          <w:p w14:paraId="64DCC4B1" w14:textId="77777777" w:rsidR="0067277A" w:rsidRPr="00CD05D2" w:rsidRDefault="0067277A" w:rsidP="00265D4F">
            <w:pPr>
              <w:pStyle w:val="NoSpacing"/>
              <w:rPr>
                <w:color w:val="000000"/>
                <w:lang w:eastAsia="nb-NO"/>
              </w:rPr>
            </w:pPr>
            <w:r w:rsidRPr="00CD05D2">
              <w:rPr>
                <w:color w:val="000000"/>
                <w:lang w:eastAsia="nb-NO"/>
              </w:rPr>
              <w:t>-</w:t>
            </w:r>
          </w:p>
        </w:tc>
      </w:tr>
      <w:tr w:rsidR="0067277A" w:rsidRPr="00CD05D2" w14:paraId="3D091535" w14:textId="77777777" w:rsidTr="00265D4F">
        <w:trPr>
          <w:jc w:val="center"/>
        </w:trPr>
        <w:tc>
          <w:tcPr>
            <w:tcW w:w="568" w:type="dxa"/>
          </w:tcPr>
          <w:p w14:paraId="3C0E6AB7" w14:textId="77777777" w:rsidR="0067277A" w:rsidRPr="00CD05D2" w:rsidRDefault="0067277A" w:rsidP="00265D4F">
            <w:pPr>
              <w:pStyle w:val="NoSpacing"/>
            </w:pPr>
            <w:r w:rsidRPr="00CD05D2">
              <w:t>4</w:t>
            </w:r>
          </w:p>
        </w:tc>
        <w:tc>
          <w:tcPr>
            <w:tcW w:w="1767" w:type="dxa"/>
          </w:tcPr>
          <w:p w14:paraId="1020BB96" w14:textId="77777777" w:rsidR="0067277A" w:rsidRPr="00CD05D2" w:rsidRDefault="0067277A" w:rsidP="00265D4F">
            <w:pPr>
              <w:pStyle w:val="NoSpacing"/>
              <w:rPr>
                <w:sz w:val="22"/>
                <w:szCs w:val="20"/>
              </w:rPr>
            </w:pPr>
            <w:r w:rsidRPr="00CD05D2">
              <w:rPr>
                <w:sz w:val="22"/>
                <w:szCs w:val="20"/>
              </w:rPr>
              <w:t xml:space="preserve">Devonian, OH </w:t>
            </w:r>
          </w:p>
        </w:tc>
        <w:tc>
          <w:tcPr>
            <w:tcW w:w="2480" w:type="dxa"/>
            <w:vMerge/>
          </w:tcPr>
          <w:p w14:paraId="52C91972" w14:textId="77777777" w:rsidR="0067277A" w:rsidRPr="00CD05D2" w:rsidRDefault="0067277A" w:rsidP="00265D4F">
            <w:pPr>
              <w:pStyle w:val="NoSpacing"/>
              <w:rPr>
                <w:sz w:val="22"/>
                <w:szCs w:val="20"/>
              </w:rPr>
            </w:pPr>
          </w:p>
        </w:tc>
        <w:tc>
          <w:tcPr>
            <w:tcW w:w="1247" w:type="dxa"/>
          </w:tcPr>
          <w:p w14:paraId="07E20DD9" w14:textId="77777777" w:rsidR="0067277A" w:rsidRPr="00CD05D2" w:rsidRDefault="0067277A" w:rsidP="00265D4F">
            <w:pPr>
              <w:pStyle w:val="NoSpacing"/>
              <w:rPr>
                <w:color w:val="000000"/>
                <w:sz w:val="22"/>
                <w:szCs w:val="20"/>
                <w:lang w:eastAsia="nb-NO"/>
              </w:rPr>
            </w:pPr>
            <w:r w:rsidRPr="00CD05D2">
              <w:rPr>
                <w:color w:val="000000"/>
                <w:sz w:val="22"/>
                <w:szCs w:val="20"/>
                <w:lang w:eastAsia="nb-NO"/>
              </w:rPr>
              <w:t>33g</w:t>
            </w:r>
          </w:p>
        </w:tc>
        <w:tc>
          <w:tcPr>
            <w:tcW w:w="1043" w:type="dxa"/>
          </w:tcPr>
          <w:p w14:paraId="0639F2BC" w14:textId="77777777" w:rsidR="0067277A" w:rsidRPr="00CD05D2" w:rsidRDefault="0067277A" w:rsidP="00265D4F">
            <w:pPr>
              <w:pStyle w:val="NoSpacing"/>
              <w:rPr>
                <w:color w:val="000000"/>
                <w:sz w:val="22"/>
                <w:szCs w:val="20"/>
                <w:lang w:eastAsia="nb-NO"/>
              </w:rPr>
            </w:pPr>
            <w:r w:rsidRPr="00CD05D2">
              <w:rPr>
                <w:color w:val="000000"/>
                <w:sz w:val="22"/>
                <w:szCs w:val="20"/>
                <w:lang w:eastAsia="nb-NO"/>
              </w:rPr>
              <w:t>18g</w:t>
            </w:r>
          </w:p>
        </w:tc>
        <w:tc>
          <w:tcPr>
            <w:tcW w:w="941" w:type="dxa"/>
          </w:tcPr>
          <w:p w14:paraId="7821D2E9" w14:textId="77777777" w:rsidR="0067277A" w:rsidRPr="00CD05D2" w:rsidRDefault="0067277A" w:rsidP="00265D4F">
            <w:pPr>
              <w:pStyle w:val="NoSpacing"/>
              <w:rPr>
                <w:color w:val="000000"/>
                <w:sz w:val="22"/>
                <w:szCs w:val="20"/>
                <w:lang w:eastAsia="nb-NO"/>
              </w:rPr>
            </w:pPr>
            <w:r w:rsidRPr="00CD05D2">
              <w:rPr>
                <w:color w:val="000000"/>
                <w:sz w:val="22"/>
                <w:szCs w:val="20"/>
                <w:lang w:eastAsia="nb-NO"/>
              </w:rPr>
              <w:t>47g</w:t>
            </w:r>
          </w:p>
        </w:tc>
        <w:tc>
          <w:tcPr>
            <w:tcW w:w="1021" w:type="dxa"/>
          </w:tcPr>
          <w:p w14:paraId="44A532D3" w14:textId="77777777" w:rsidR="0067277A" w:rsidRPr="00CD05D2" w:rsidRDefault="0067277A" w:rsidP="00265D4F">
            <w:pPr>
              <w:pStyle w:val="NoSpacing"/>
              <w:rPr>
                <w:color w:val="000000"/>
                <w:sz w:val="22"/>
                <w:szCs w:val="20"/>
                <w:lang w:eastAsia="nb-NO"/>
              </w:rPr>
            </w:pPr>
            <w:r w:rsidRPr="00CD05D2">
              <w:rPr>
                <w:color w:val="000000"/>
                <w:sz w:val="22"/>
                <w:szCs w:val="20"/>
                <w:lang w:eastAsia="nb-NO"/>
              </w:rPr>
              <w:t>2g</w:t>
            </w:r>
          </w:p>
        </w:tc>
        <w:tc>
          <w:tcPr>
            <w:tcW w:w="993" w:type="dxa"/>
          </w:tcPr>
          <w:p w14:paraId="109B9E00" w14:textId="77777777" w:rsidR="0067277A" w:rsidRPr="00CD05D2" w:rsidRDefault="0067277A" w:rsidP="00265D4F">
            <w:pPr>
              <w:pStyle w:val="NoSpacing"/>
              <w:rPr>
                <w:color w:val="000000"/>
                <w:lang w:eastAsia="nb-NO"/>
              </w:rPr>
            </w:pPr>
          </w:p>
        </w:tc>
      </w:tr>
      <w:tr w:rsidR="0067277A" w:rsidRPr="00CD05D2" w14:paraId="2C92F76C" w14:textId="77777777" w:rsidTr="00265D4F">
        <w:trPr>
          <w:jc w:val="center"/>
        </w:trPr>
        <w:tc>
          <w:tcPr>
            <w:tcW w:w="568" w:type="dxa"/>
          </w:tcPr>
          <w:p w14:paraId="207F565E" w14:textId="77777777" w:rsidR="0067277A" w:rsidRPr="00CD05D2" w:rsidRDefault="0067277A" w:rsidP="00265D4F">
            <w:pPr>
              <w:pStyle w:val="NoSpacing"/>
            </w:pPr>
            <w:r w:rsidRPr="00CD05D2">
              <w:t>5</w:t>
            </w:r>
          </w:p>
        </w:tc>
        <w:tc>
          <w:tcPr>
            <w:tcW w:w="1767" w:type="dxa"/>
          </w:tcPr>
          <w:p w14:paraId="50210BE5" w14:textId="77777777" w:rsidR="0067277A" w:rsidRPr="00CD05D2" w:rsidRDefault="0067277A" w:rsidP="00265D4F">
            <w:pPr>
              <w:pStyle w:val="NoSpacing"/>
              <w:rPr>
                <w:sz w:val="22"/>
                <w:szCs w:val="20"/>
              </w:rPr>
            </w:pPr>
            <w:r w:rsidRPr="00CD05D2">
              <w:rPr>
                <w:sz w:val="22"/>
                <w:szCs w:val="20"/>
              </w:rPr>
              <w:t>Pierre</w:t>
            </w:r>
          </w:p>
        </w:tc>
        <w:tc>
          <w:tcPr>
            <w:tcW w:w="2480" w:type="dxa"/>
            <w:vMerge/>
          </w:tcPr>
          <w:p w14:paraId="1ED22F6D" w14:textId="77777777" w:rsidR="0067277A" w:rsidRPr="00CD05D2" w:rsidRDefault="0067277A" w:rsidP="00265D4F">
            <w:pPr>
              <w:pStyle w:val="NoSpacing"/>
              <w:rPr>
                <w:sz w:val="22"/>
                <w:szCs w:val="20"/>
              </w:rPr>
            </w:pPr>
          </w:p>
        </w:tc>
        <w:tc>
          <w:tcPr>
            <w:tcW w:w="1247" w:type="dxa"/>
          </w:tcPr>
          <w:p w14:paraId="00723D45" w14:textId="77777777" w:rsidR="0067277A" w:rsidRPr="00CD05D2" w:rsidRDefault="0067277A" w:rsidP="00265D4F">
            <w:pPr>
              <w:pStyle w:val="NoSpacing"/>
              <w:rPr>
                <w:sz w:val="22"/>
                <w:szCs w:val="20"/>
                <w:lang w:eastAsia="nb-NO"/>
              </w:rPr>
            </w:pPr>
            <w:r w:rsidRPr="00CD05D2">
              <w:rPr>
                <w:sz w:val="22"/>
                <w:szCs w:val="20"/>
                <w:lang w:eastAsia="nb-NO"/>
              </w:rPr>
              <w:t>33g</w:t>
            </w:r>
          </w:p>
        </w:tc>
        <w:tc>
          <w:tcPr>
            <w:tcW w:w="1043" w:type="dxa"/>
          </w:tcPr>
          <w:p w14:paraId="39A53D49" w14:textId="77777777" w:rsidR="0067277A" w:rsidRPr="00CD05D2" w:rsidRDefault="0067277A" w:rsidP="00265D4F">
            <w:pPr>
              <w:pStyle w:val="NoSpacing"/>
              <w:rPr>
                <w:sz w:val="22"/>
                <w:szCs w:val="20"/>
                <w:lang w:eastAsia="nb-NO"/>
              </w:rPr>
            </w:pPr>
            <w:r w:rsidRPr="00CD05D2">
              <w:rPr>
                <w:sz w:val="22"/>
                <w:szCs w:val="20"/>
                <w:lang w:eastAsia="nb-NO"/>
              </w:rPr>
              <w:t>24g</w:t>
            </w:r>
          </w:p>
        </w:tc>
        <w:tc>
          <w:tcPr>
            <w:tcW w:w="941" w:type="dxa"/>
          </w:tcPr>
          <w:p w14:paraId="132CDC5C" w14:textId="77777777" w:rsidR="0067277A" w:rsidRPr="00CD05D2" w:rsidRDefault="0067277A" w:rsidP="00265D4F">
            <w:pPr>
              <w:pStyle w:val="NoSpacing"/>
              <w:rPr>
                <w:sz w:val="22"/>
                <w:szCs w:val="20"/>
                <w:lang w:eastAsia="nb-NO"/>
              </w:rPr>
            </w:pPr>
            <w:r w:rsidRPr="00CD05D2">
              <w:rPr>
                <w:sz w:val="22"/>
                <w:szCs w:val="20"/>
                <w:lang w:eastAsia="nb-NO"/>
              </w:rPr>
              <w:t>43g</w:t>
            </w:r>
          </w:p>
        </w:tc>
        <w:tc>
          <w:tcPr>
            <w:tcW w:w="1021" w:type="dxa"/>
          </w:tcPr>
          <w:p w14:paraId="3B0E7543" w14:textId="77777777" w:rsidR="0067277A" w:rsidRPr="00CD05D2" w:rsidRDefault="0067277A" w:rsidP="00265D4F">
            <w:pPr>
              <w:pStyle w:val="NoSpacing"/>
              <w:rPr>
                <w:sz w:val="22"/>
                <w:szCs w:val="20"/>
                <w:lang w:eastAsia="nb-NO"/>
              </w:rPr>
            </w:pPr>
            <w:r w:rsidRPr="00CD05D2">
              <w:rPr>
                <w:sz w:val="22"/>
                <w:szCs w:val="20"/>
                <w:lang w:eastAsia="nb-NO"/>
              </w:rPr>
              <w:t>0g</w:t>
            </w:r>
          </w:p>
        </w:tc>
        <w:tc>
          <w:tcPr>
            <w:tcW w:w="993" w:type="dxa"/>
          </w:tcPr>
          <w:p w14:paraId="34B55BE4" w14:textId="77777777" w:rsidR="0067277A" w:rsidRPr="00CD05D2" w:rsidRDefault="0067277A" w:rsidP="00265D4F">
            <w:pPr>
              <w:pStyle w:val="NoSpacing"/>
              <w:rPr>
                <w:lang w:eastAsia="nb-NO"/>
              </w:rPr>
            </w:pPr>
            <w:r w:rsidRPr="00CD05D2">
              <w:rPr>
                <w:lang w:eastAsia="nb-NO"/>
              </w:rPr>
              <w:t>-</w:t>
            </w:r>
          </w:p>
        </w:tc>
      </w:tr>
      <w:tr w:rsidR="0067277A" w:rsidRPr="00CD05D2" w14:paraId="2FC706AE" w14:textId="77777777" w:rsidTr="00265D4F">
        <w:trPr>
          <w:jc w:val="center"/>
        </w:trPr>
        <w:tc>
          <w:tcPr>
            <w:tcW w:w="568" w:type="dxa"/>
          </w:tcPr>
          <w:p w14:paraId="1D2AA98D" w14:textId="77777777" w:rsidR="0067277A" w:rsidRPr="00CD05D2" w:rsidRDefault="0067277A" w:rsidP="00265D4F">
            <w:pPr>
              <w:pStyle w:val="NoSpacing"/>
            </w:pPr>
            <w:r w:rsidRPr="00CD05D2">
              <w:t>6</w:t>
            </w:r>
          </w:p>
        </w:tc>
        <w:tc>
          <w:tcPr>
            <w:tcW w:w="1767" w:type="dxa"/>
          </w:tcPr>
          <w:p w14:paraId="08B74C5C" w14:textId="77777777" w:rsidR="0067277A" w:rsidRPr="00CD05D2" w:rsidRDefault="0067277A" w:rsidP="00265D4F">
            <w:pPr>
              <w:pStyle w:val="NoSpacing"/>
              <w:rPr>
                <w:sz w:val="22"/>
                <w:szCs w:val="20"/>
              </w:rPr>
            </w:pPr>
            <w:r w:rsidRPr="00CD05D2">
              <w:rPr>
                <w:sz w:val="22"/>
                <w:szCs w:val="20"/>
              </w:rPr>
              <w:t xml:space="preserve">North Sea- A </w:t>
            </w:r>
          </w:p>
        </w:tc>
        <w:tc>
          <w:tcPr>
            <w:tcW w:w="2480" w:type="dxa"/>
            <w:vMerge w:val="restart"/>
          </w:tcPr>
          <w:p w14:paraId="7AF9197E" w14:textId="77777777" w:rsidR="0067277A" w:rsidRPr="00CD05D2" w:rsidRDefault="0067277A" w:rsidP="00265D4F">
            <w:pPr>
              <w:pStyle w:val="NoSpacing"/>
              <w:rPr>
                <w:sz w:val="22"/>
                <w:szCs w:val="20"/>
              </w:rPr>
            </w:pPr>
            <w:r w:rsidRPr="00CD05D2">
              <w:rPr>
                <w:sz w:val="22"/>
                <w:szCs w:val="20"/>
              </w:rPr>
              <w:t>This work modified version of the reference [67]</w:t>
            </w:r>
          </w:p>
        </w:tc>
        <w:tc>
          <w:tcPr>
            <w:tcW w:w="1247" w:type="dxa"/>
          </w:tcPr>
          <w:p w14:paraId="41540031" w14:textId="77777777" w:rsidR="0067277A" w:rsidRPr="00CD05D2" w:rsidRDefault="0067277A" w:rsidP="00265D4F">
            <w:pPr>
              <w:pStyle w:val="NoSpacing"/>
              <w:rPr>
                <w:color w:val="000000"/>
                <w:sz w:val="22"/>
                <w:szCs w:val="20"/>
                <w:lang w:eastAsia="nb-NO"/>
              </w:rPr>
            </w:pPr>
            <w:r w:rsidRPr="00CD05D2">
              <w:rPr>
                <w:color w:val="000000"/>
                <w:sz w:val="22"/>
                <w:szCs w:val="20"/>
                <w:lang w:eastAsia="nb-NO"/>
              </w:rPr>
              <w:t>52.9g</w:t>
            </w:r>
          </w:p>
        </w:tc>
        <w:tc>
          <w:tcPr>
            <w:tcW w:w="1043" w:type="dxa"/>
          </w:tcPr>
          <w:p w14:paraId="4E9836BC" w14:textId="77777777" w:rsidR="0067277A" w:rsidRPr="00CD05D2" w:rsidRDefault="0067277A" w:rsidP="00265D4F">
            <w:pPr>
              <w:pStyle w:val="NoSpacing"/>
              <w:rPr>
                <w:color w:val="000000"/>
                <w:sz w:val="22"/>
                <w:szCs w:val="20"/>
                <w:lang w:eastAsia="nb-NO"/>
              </w:rPr>
            </w:pPr>
            <w:r w:rsidRPr="00CD05D2">
              <w:rPr>
                <w:color w:val="000000"/>
                <w:sz w:val="22"/>
                <w:szCs w:val="20"/>
                <w:lang w:eastAsia="nb-NO"/>
              </w:rPr>
              <w:t>15.5g</w:t>
            </w:r>
          </w:p>
        </w:tc>
        <w:tc>
          <w:tcPr>
            <w:tcW w:w="941" w:type="dxa"/>
          </w:tcPr>
          <w:p w14:paraId="4078A975" w14:textId="77777777" w:rsidR="0067277A" w:rsidRPr="00CD05D2" w:rsidRDefault="0067277A" w:rsidP="00265D4F">
            <w:pPr>
              <w:pStyle w:val="NoSpacing"/>
              <w:rPr>
                <w:color w:val="000000"/>
                <w:sz w:val="22"/>
                <w:szCs w:val="20"/>
                <w:lang w:eastAsia="nb-NO"/>
              </w:rPr>
            </w:pPr>
            <w:r w:rsidRPr="00CD05D2">
              <w:rPr>
                <w:color w:val="000000"/>
                <w:sz w:val="22"/>
                <w:szCs w:val="20"/>
                <w:lang w:eastAsia="nb-NO"/>
              </w:rPr>
              <w:t>26.9g</w:t>
            </w:r>
          </w:p>
        </w:tc>
        <w:tc>
          <w:tcPr>
            <w:tcW w:w="1021" w:type="dxa"/>
          </w:tcPr>
          <w:p w14:paraId="7009BB34" w14:textId="77777777" w:rsidR="0067277A" w:rsidRPr="00CD05D2" w:rsidRDefault="0067277A" w:rsidP="00265D4F">
            <w:pPr>
              <w:pStyle w:val="NoSpacing"/>
              <w:rPr>
                <w:color w:val="000000"/>
                <w:sz w:val="22"/>
                <w:szCs w:val="20"/>
                <w:lang w:eastAsia="nb-NO"/>
              </w:rPr>
            </w:pPr>
            <w:r w:rsidRPr="00CD05D2">
              <w:rPr>
                <w:color w:val="000000"/>
                <w:sz w:val="22"/>
                <w:szCs w:val="20"/>
                <w:lang w:eastAsia="nb-NO"/>
              </w:rPr>
              <w:t>0.6g</w:t>
            </w:r>
          </w:p>
        </w:tc>
        <w:tc>
          <w:tcPr>
            <w:tcW w:w="993" w:type="dxa"/>
          </w:tcPr>
          <w:p w14:paraId="405FA197" w14:textId="77777777" w:rsidR="0067277A" w:rsidRPr="00CD05D2" w:rsidRDefault="0067277A" w:rsidP="00265D4F">
            <w:pPr>
              <w:pStyle w:val="NoSpacing"/>
              <w:rPr>
                <w:color w:val="000000"/>
                <w:lang w:eastAsia="nb-NO"/>
              </w:rPr>
            </w:pPr>
            <w:r w:rsidRPr="00CD05D2">
              <w:rPr>
                <w:color w:val="000000"/>
                <w:lang w:eastAsia="nb-NO"/>
              </w:rPr>
              <w:t>4.1g</w:t>
            </w:r>
          </w:p>
        </w:tc>
      </w:tr>
      <w:tr w:rsidR="0067277A" w:rsidRPr="00CD05D2" w14:paraId="21D63F7F" w14:textId="77777777" w:rsidTr="00265D4F">
        <w:trPr>
          <w:jc w:val="center"/>
        </w:trPr>
        <w:tc>
          <w:tcPr>
            <w:tcW w:w="568" w:type="dxa"/>
          </w:tcPr>
          <w:p w14:paraId="01581F7A" w14:textId="77777777" w:rsidR="0067277A" w:rsidRPr="00CD05D2" w:rsidRDefault="0067277A" w:rsidP="00265D4F">
            <w:pPr>
              <w:pStyle w:val="NoSpacing"/>
            </w:pPr>
            <w:r w:rsidRPr="00CD05D2">
              <w:t>7</w:t>
            </w:r>
          </w:p>
        </w:tc>
        <w:tc>
          <w:tcPr>
            <w:tcW w:w="1767" w:type="dxa"/>
          </w:tcPr>
          <w:p w14:paraId="2CBC2BC4" w14:textId="77777777" w:rsidR="0067277A" w:rsidRPr="00CD05D2" w:rsidRDefault="0067277A" w:rsidP="00265D4F">
            <w:pPr>
              <w:pStyle w:val="NoSpacing"/>
              <w:rPr>
                <w:sz w:val="22"/>
                <w:szCs w:val="20"/>
              </w:rPr>
            </w:pPr>
            <w:r w:rsidRPr="00CD05D2">
              <w:rPr>
                <w:sz w:val="22"/>
                <w:szCs w:val="20"/>
              </w:rPr>
              <w:t>North Sea B</w:t>
            </w:r>
          </w:p>
        </w:tc>
        <w:tc>
          <w:tcPr>
            <w:tcW w:w="2480" w:type="dxa"/>
            <w:vMerge/>
          </w:tcPr>
          <w:p w14:paraId="49E7CAA2" w14:textId="77777777" w:rsidR="0067277A" w:rsidRPr="00CD05D2" w:rsidRDefault="0067277A" w:rsidP="00265D4F">
            <w:pPr>
              <w:pStyle w:val="NoSpacing"/>
              <w:rPr>
                <w:sz w:val="22"/>
                <w:szCs w:val="20"/>
              </w:rPr>
            </w:pPr>
          </w:p>
        </w:tc>
        <w:tc>
          <w:tcPr>
            <w:tcW w:w="1247" w:type="dxa"/>
          </w:tcPr>
          <w:p w14:paraId="5C557251" w14:textId="77777777" w:rsidR="0067277A" w:rsidRPr="00CD05D2" w:rsidRDefault="0067277A" w:rsidP="00265D4F">
            <w:pPr>
              <w:pStyle w:val="NoSpacing"/>
              <w:rPr>
                <w:color w:val="000000"/>
                <w:sz w:val="22"/>
                <w:szCs w:val="20"/>
                <w:lang w:eastAsia="nb-NO"/>
              </w:rPr>
            </w:pPr>
            <w:r w:rsidRPr="00CD05D2">
              <w:rPr>
                <w:color w:val="000000"/>
                <w:sz w:val="22"/>
                <w:szCs w:val="20"/>
                <w:lang w:eastAsia="nb-NO"/>
              </w:rPr>
              <w:t>48.4g</w:t>
            </w:r>
          </w:p>
        </w:tc>
        <w:tc>
          <w:tcPr>
            <w:tcW w:w="1043" w:type="dxa"/>
          </w:tcPr>
          <w:p w14:paraId="550F7E44" w14:textId="77777777" w:rsidR="0067277A" w:rsidRPr="00CD05D2" w:rsidRDefault="0067277A" w:rsidP="00265D4F">
            <w:pPr>
              <w:pStyle w:val="NoSpacing"/>
              <w:rPr>
                <w:color w:val="000000"/>
                <w:sz w:val="22"/>
                <w:szCs w:val="20"/>
                <w:lang w:eastAsia="nb-NO"/>
              </w:rPr>
            </w:pPr>
            <w:r w:rsidRPr="00CD05D2">
              <w:rPr>
                <w:color w:val="000000"/>
                <w:sz w:val="22"/>
                <w:szCs w:val="20"/>
                <w:lang w:eastAsia="nb-NO"/>
              </w:rPr>
              <w:t>6.9g</w:t>
            </w:r>
          </w:p>
        </w:tc>
        <w:tc>
          <w:tcPr>
            <w:tcW w:w="941" w:type="dxa"/>
          </w:tcPr>
          <w:p w14:paraId="4E6BE5AC" w14:textId="77777777" w:rsidR="0067277A" w:rsidRPr="00CD05D2" w:rsidRDefault="0067277A" w:rsidP="00265D4F">
            <w:pPr>
              <w:pStyle w:val="NoSpacing"/>
              <w:rPr>
                <w:color w:val="000000"/>
                <w:sz w:val="22"/>
                <w:szCs w:val="20"/>
                <w:lang w:eastAsia="nb-NO"/>
              </w:rPr>
            </w:pPr>
            <w:r w:rsidRPr="00CD05D2">
              <w:rPr>
                <w:color w:val="000000"/>
                <w:sz w:val="22"/>
                <w:szCs w:val="20"/>
                <w:lang w:eastAsia="nb-NO"/>
              </w:rPr>
              <w:t>34.6g</w:t>
            </w:r>
          </w:p>
        </w:tc>
        <w:tc>
          <w:tcPr>
            <w:tcW w:w="1021" w:type="dxa"/>
          </w:tcPr>
          <w:p w14:paraId="1C56D1B3" w14:textId="77777777" w:rsidR="0067277A" w:rsidRPr="00CD05D2" w:rsidRDefault="0067277A" w:rsidP="00265D4F">
            <w:pPr>
              <w:pStyle w:val="NoSpacing"/>
              <w:rPr>
                <w:color w:val="000000"/>
                <w:sz w:val="22"/>
                <w:szCs w:val="20"/>
                <w:lang w:eastAsia="nb-NO"/>
              </w:rPr>
            </w:pPr>
            <w:r w:rsidRPr="00CD05D2">
              <w:rPr>
                <w:color w:val="000000"/>
                <w:sz w:val="22"/>
                <w:szCs w:val="20"/>
                <w:lang w:eastAsia="nb-NO"/>
              </w:rPr>
              <w:t>4.8g</w:t>
            </w:r>
          </w:p>
        </w:tc>
        <w:tc>
          <w:tcPr>
            <w:tcW w:w="993" w:type="dxa"/>
          </w:tcPr>
          <w:p w14:paraId="49B78E2D" w14:textId="77777777" w:rsidR="0067277A" w:rsidRPr="00CD05D2" w:rsidRDefault="0067277A" w:rsidP="00265D4F">
            <w:pPr>
              <w:pStyle w:val="NoSpacing"/>
              <w:rPr>
                <w:color w:val="000000"/>
                <w:lang w:eastAsia="nb-NO"/>
              </w:rPr>
            </w:pPr>
            <w:r w:rsidRPr="00CD05D2">
              <w:rPr>
                <w:color w:val="000000"/>
                <w:lang w:eastAsia="nb-NO"/>
              </w:rPr>
              <w:t>5.3g</w:t>
            </w:r>
          </w:p>
        </w:tc>
      </w:tr>
      <w:tr w:rsidR="0067277A" w:rsidRPr="00CD05D2" w14:paraId="52EB26D7" w14:textId="77777777" w:rsidTr="00265D4F">
        <w:trPr>
          <w:jc w:val="center"/>
        </w:trPr>
        <w:tc>
          <w:tcPr>
            <w:tcW w:w="568" w:type="dxa"/>
          </w:tcPr>
          <w:p w14:paraId="334EBB3C" w14:textId="77777777" w:rsidR="0067277A" w:rsidRPr="00CD05D2" w:rsidRDefault="0067277A" w:rsidP="00265D4F">
            <w:pPr>
              <w:pStyle w:val="NoSpacing"/>
            </w:pPr>
            <w:r w:rsidRPr="00CD05D2">
              <w:t>8</w:t>
            </w:r>
          </w:p>
        </w:tc>
        <w:tc>
          <w:tcPr>
            <w:tcW w:w="1767" w:type="dxa"/>
          </w:tcPr>
          <w:p w14:paraId="6E71CD4D" w14:textId="77777777" w:rsidR="0067277A" w:rsidRPr="00CD05D2" w:rsidRDefault="0067277A" w:rsidP="00265D4F">
            <w:pPr>
              <w:pStyle w:val="NoSpacing"/>
              <w:rPr>
                <w:sz w:val="22"/>
                <w:szCs w:val="20"/>
              </w:rPr>
            </w:pPr>
            <w:r w:rsidRPr="00CD05D2">
              <w:rPr>
                <w:sz w:val="22"/>
                <w:szCs w:val="20"/>
              </w:rPr>
              <w:t>North Sea C</w:t>
            </w:r>
          </w:p>
        </w:tc>
        <w:tc>
          <w:tcPr>
            <w:tcW w:w="2480" w:type="dxa"/>
            <w:vMerge/>
          </w:tcPr>
          <w:p w14:paraId="1EDE0161" w14:textId="77777777" w:rsidR="0067277A" w:rsidRPr="00CD05D2" w:rsidRDefault="0067277A" w:rsidP="00265D4F">
            <w:pPr>
              <w:pStyle w:val="NoSpacing"/>
              <w:rPr>
                <w:sz w:val="22"/>
                <w:szCs w:val="20"/>
              </w:rPr>
            </w:pPr>
          </w:p>
        </w:tc>
        <w:tc>
          <w:tcPr>
            <w:tcW w:w="1247" w:type="dxa"/>
          </w:tcPr>
          <w:p w14:paraId="45E7AA33" w14:textId="77777777" w:rsidR="0067277A" w:rsidRPr="00CD05D2" w:rsidRDefault="0067277A" w:rsidP="00265D4F">
            <w:pPr>
              <w:pStyle w:val="NoSpacing"/>
              <w:rPr>
                <w:color w:val="000000"/>
                <w:sz w:val="22"/>
                <w:szCs w:val="20"/>
                <w:lang w:eastAsia="nb-NO"/>
              </w:rPr>
            </w:pPr>
            <w:r w:rsidRPr="00CD05D2">
              <w:rPr>
                <w:color w:val="000000"/>
                <w:sz w:val="22"/>
                <w:szCs w:val="20"/>
                <w:lang w:eastAsia="nb-NO"/>
              </w:rPr>
              <w:t>46.7g</w:t>
            </w:r>
          </w:p>
        </w:tc>
        <w:tc>
          <w:tcPr>
            <w:tcW w:w="1043" w:type="dxa"/>
          </w:tcPr>
          <w:p w14:paraId="637936B3" w14:textId="77777777" w:rsidR="0067277A" w:rsidRPr="00CD05D2" w:rsidRDefault="0067277A" w:rsidP="00265D4F">
            <w:pPr>
              <w:pStyle w:val="NoSpacing"/>
              <w:rPr>
                <w:color w:val="000000"/>
                <w:sz w:val="22"/>
                <w:szCs w:val="20"/>
                <w:lang w:eastAsia="nb-NO"/>
              </w:rPr>
            </w:pPr>
            <w:r w:rsidRPr="00CD05D2">
              <w:rPr>
                <w:color w:val="000000"/>
                <w:sz w:val="22"/>
                <w:szCs w:val="20"/>
                <w:lang w:eastAsia="nb-NO"/>
              </w:rPr>
              <w:t>1.4g</w:t>
            </w:r>
          </w:p>
        </w:tc>
        <w:tc>
          <w:tcPr>
            <w:tcW w:w="941" w:type="dxa"/>
          </w:tcPr>
          <w:p w14:paraId="3C345881" w14:textId="77777777" w:rsidR="0067277A" w:rsidRPr="00CD05D2" w:rsidRDefault="0067277A" w:rsidP="00265D4F">
            <w:pPr>
              <w:pStyle w:val="NoSpacing"/>
              <w:rPr>
                <w:color w:val="000000"/>
                <w:sz w:val="22"/>
                <w:szCs w:val="20"/>
                <w:lang w:eastAsia="nb-NO"/>
              </w:rPr>
            </w:pPr>
            <w:r w:rsidRPr="00CD05D2">
              <w:rPr>
                <w:color w:val="000000"/>
                <w:sz w:val="22"/>
                <w:szCs w:val="20"/>
                <w:lang w:eastAsia="nb-NO"/>
              </w:rPr>
              <w:t>48.1g</w:t>
            </w:r>
          </w:p>
        </w:tc>
        <w:tc>
          <w:tcPr>
            <w:tcW w:w="1021" w:type="dxa"/>
          </w:tcPr>
          <w:p w14:paraId="3F3420C9" w14:textId="77777777" w:rsidR="0067277A" w:rsidRPr="00CD05D2" w:rsidRDefault="0067277A" w:rsidP="00265D4F">
            <w:pPr>
              <w:pStyle w:val="NoSpacing"/>
              <w:rPr>
                <w:color w:val="000000"/>
                <w:sz w:val="22"/>
                <w:szCs w:val="20"/>
                <w:lang w:eastAsia="nb-NO"/>
              </w:rPr>
            </w:pPr>
            <w:r w:rsidRPr="00CD05D2">
              <w:rPr>
                <w:color w:val="000000"/>
                <w:sz w:val="22"/>
                <w:szCs w:val="20"/>
                <w:lang w:eastAsia="nb-NO"/>
              </w:rPr>
              <w:t>2.3g</w:t>
            </w:r>
          </w:p>
        </w:tc>
        <w:tc>
          <w:tcPr>
            <w:tcW w:w="993" w:type="dxa"/>
          </w:tcPr>
          <w:p w14:paraId="4DDA8347" w14:textId="77777777" w:rsidR="0067277A" w:rsidRPr="00CD05D2" w:rsidRDefault="0067277A" w:rsidP="00265D4F">
            <w:pPr>
              <w:pStyle w:val="NoSpacing"/>
              <w:rPr>
                <w:color w:val="000000"/>
                <w:lang w:eastAsia="nb-NO"/>
              </w:rPr>
            </w:pPr>
            <w:r w:rsidRPr="00CD05D2">
              <w:rPr>
                <w:color w:val="000000"/>
                <w:lang w:eastAsia="nb-NO"/>
              </w:rPr>
              <w:t>1.5g</w:t>
            </w:r>
          </w:p>
        </w:tc>
      </w:tr>
    </w:tbl>
    <w:p w14:paraId="223DDD19" w14:textId="77777777" w:rsidR="0067277A" w:rsidRPr="00CD05D2" w:rsidRDefault="0067277A" w:rsidP="0067277A">
      <w:pPr>
        <w:pStyle w:val="Head4"/>
        <w:ind w:firstLine="0"/>
        <w:rPr>
          <w:sz w:val="24"/>
          <w:szCs w:val="24"/>
        </w:rPr>
      </w:pPr>
    </w:p>
    <w:p w14:paraId="3A57DD80" w14:textId="77777777" w:rsidR="0067277A" w:rsidRPr="0067277A" w:rsidRDefault="0067277A" w:rsidP="0067277A">
      <w:pPr>
        <w:pStyle w:val="Heading3"/>
        <w:numPr>
          <w:ilvl w:val="0"/>
          <w:numId w:val="0"/>
        </w:numPr>
        <w:ind w:left="567" w:hanging="567"/>
        <w:rPr>
          <w:rFonts w:cs="Times New Roman"/>
        </w:rPr>
      </w:pPr>
      <w:r w:rsidRPr="0067277A">
        <w:rPr>
          <w:rFonts w:cs="Times New Roman"/>
        </w:rPr>
        <w:lastRenderedPageBreak/>
        <w:t xml:space="preserve">Swelling results </w:t>
      </w:r>
    </w:p>
    <w:p w14:paraId="57D95409" w14:textId="77777777" w:rsidR="0067277A" w:rsidRPr="00CD05D2" w:rsidRDefault="0067277A" w:rsidP="0067277A">
      <w:pPr>
        <w:pStyle w:val="BodyText"/>
        <w:rPr>
          <w:sz w:val="24"/>
          <w:szCs w:val="24"/>
        </w:rPr>
      </w:pPr>
      <w:r w:rsidRPr="00063A9E">
        <w:rPr>
          <w:sz w:val="24"/>
          <w:szCs w:val="24"/>
        </w:rPr>
        <w:t>Table A4:</w:t>
      </w:r>
      <w:r w:rsidRPr="00CD05D2">
        <w:rPr>
          <w:sz w:val="24"/>
          <w:szCs w:val="24"/>
        </w:rPr>
        <w:t xml:space="preserve"> Swelling test results obtained from the 60/40 OBM mud system</w:t>
      </w:r>
    </w:p>
    <w:p w14:paraId="4779C39F" w14:textId="77777777" w:rsidR="0067277A" w:rsidRPr="00CD05D2" w:rsidRDefault="0067277A" w:rsidP="0067277A">
      <w:pPr>
        <w:pStyle w:val="BodyText"/>
        <w:rPr>
          <w:sz w:val="24"/>
          <w:szCs w:val="24"/>
        </w:rPr>
      </w:pPr>
      <w:r w:rsidRPr="00CD05D2">
        <w:rPr>
          <w:noProof/>
        </w:rPr>
        <w:drawing>
          <wp:inline distT="0" distB="0" distL="0" distR="0" wp14:anchorId="603B7499" wp14:editId="63F4F5FC">
            <wp:extent cx="6207531" cy="1688123"/>
            <wp:effectExtent l="0" t="0" r="3175" b="7620"/>
            <wp:docPr id="110" name="Bild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31808" cy="1694725"/>
                    </a:xfrm>
                    <a:prstGeom prst="rect">
                      <a:avLst/>
                    </a:prstGeom>
                  </pic:spPr>
                </pic:pic>
              </a:graphicData>
            </a:graphic>
          </wp:inline>
        </w:drawing>
      </w:r>
    </w:p>
    <w:p w14:paraId="6A681199" w14:textId="77777777" w:rsidR="0067277A" w:rsidRPr="00CD05D2" w:rsidRDefault="0067277A" w:rsidP="0067277A">
      <w:pPr>
        <w:pStyle w:val="BodyText"/>
        <w:rPr>
          <w:sz w:val="24"/>
          <w:szCs w:val="24"/>
        </w:rPr>
      </w:pPr>
      <w:r w:rsidRPr="00063A9E">
        <w:rPr>
          <w:sz w:val="24"/>
          <w:szCs w:val="24"/>
        </w:rPr>
        <w:t>Table A5:</w:t>
      </w:r>
      <w:r w:rsidRPr="00CD05D2">
        <w:rPr>
          <w:sz w:val="24"/>
          <w:szCs w:val="24"/>
        </w:rPr>
        <w:t xml:space="preserve"> Swelling test results obtained from the 80/20 OBM mud system</w:t>
      </w:r>
    </w:p>
    <w:p w14:paraId="35780103" w14:textId="77777777" w:rsidR="0067277A" w:rsidRPr="00CD05D2" w:rsidRDefault="0067277A" w:rsidP="0067277A">
      <w:pPr>
        <w:pStyle w:val="BodyText"/>
        <w:rPr>
          <w:sz w:val="24"/>
          <w:szCs w:val="24"/>
        </w:rPr>
      </w:pPr>
      <w:r w:rsidRPr="00CD05D2">
        <w:rPr>
          <w:noProof/>
        </w:rPr>
        <w:drawing>
          <wp:inline distT="0" distB="0" distL="0" distR="0" wp14:anchorId="478DADAC" wp14:editId="214C7342">
            <wp:extent cx="6142325" cy="1885071"/>
            <wp:effectExtent l="0" t="0" r="0" b="1270"/>
            <wp:docPr id="111" name="Bild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71983" cy="1894173"/>
                    </a:xfrm>
                    <a:prstGeom prst="rect">
                      <a:avLst/>
                    </a:prstGeom>
                  </pic:spPr>
                </pic:pic>
              </a:graphicData>
            </a:graphic>
          </wp:inline>
        </w:drawing>
      </w:r>
    </w:p>
    <w:p w14:paraId="4B826895" w14:textId="12003313" w:rsidR="0067277A" w:rsidRPr="0067277A" w:rsidRDefault="0067277A" w:rsidP="0067277A">
      <w:pPr>
        <w:pStyle w:val="Heading3"/>
        <w:numPr>
          <w:ilvl w:val="0"/>
          <w:numId w:val="0"/>
        </w:numPr>
        <w:ind w:left="567" w:hanging="567"/>
        <w:rPr>
          <w:rFonts w:cs="Times New Roman"/>
        </w:rPr>
      </w:pPr>
      <w:r>
        <w:rPr>
          <w:rFonts w:cs="Times New Roman"/>
        </w:rPr>
        <w:t xml:space="preserve">Type of Loss/severity classification </w:t>
      </w:r>
      <w:r w:rsidRPr="0067277A">
        <w:rPr>
          <w:rFonts w:cs="Times New Roman"/>
        </w:rPr>
        <w:t xml:space="preserve"> </w:t>
      </w:r>
      <w:r>
        <w:rPr>
          <w:rFonts w:cs="Times New Roman"/>
        </w:rPr>
        <w:t>and LCM selection methods</w:t>
      </w:r>
    </w:p>
    <w:p w14:paraId="47A7A4DC" w14:textId="0EED2640" w:rsidR="0067277A" w:rsidRPr="00CD05D2" w:rsidRDefault="0067277A" w:rsidP="0067277A">
      <w:pPr>
        <w:pStyle w:val="Heading2"/>
        <w:numPr>
          <w:ilvl w:val="0"/>
          <w:numId w:val="0"/>
        </w:numPr>
        <w:ind w:left="567" w:hanging="567"/>
        <w:rPr>
          <w:b w:val="0"/>
          <w:bCs/>
        </w:rPr>
      </w:pPr>
      <w:r w:rsidRPr="00CD05D2">
        <w:t xml:space="preserve"> </w:t>
      </w:r>
      <w:r w:rsidRPr="00063A9E">
        <w:rPr>
          <w:b w:val="0"/>
          <w:bCs/>
        </w:rPr>
        <w:t>Table A6:</w:t>
      </w:r>
      <w:r w:rsidRPr="00CD05D2">
        <w:t xml:space="preserve"> </w:t>
      </w:r>
      <w:r w:rsidRPr="00CD05D2">
        <w:rPr>
          <w:b w:val="0"/>
          <w:bCs/>
        </w:rPr>
        <w:t>Classification of Types of Loss and Severity of Loss [3]</w:t>
      </w:r>
    </w:p>
    <w:tbl>
      <w:tblPr>
        <w:tblStyle w:val="PlainTable2"/>
        <w:tblW w:w="0" w:type="auto"/>
        <w:tblInd w:w="2340" w:type="dxa"/>
        <w:tblBorders>
          <w:insideH w:val="single" w:sz="4" w:space="0" w:color="7F7F7F" w:themeColor="text1" w:themeTint="80"/>
        </w:tblBorders>
        <w:tblLook w:val="04A0" w:firstRow="1" w:lastRow="0" w:firstColumn="1" w:lastColumn="0" w:noHBand="0" w:noVBand="1"/>
      </w:tblPr>
      <w:tblGrid>
        <w:gridCol w:w="1629"/>
        <w:gridCol w:w="3531"/>
      </w:tblGrid>
      <w:tr w:rsidR="0067277A" w:rsidRPr="00CD05D2" w14:paraId="057E095A" w14:textId="77777777" w:rsidTr="00265D4F">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629" w:type="dxa"/>
            <w:tcBorders>
              <w:bottom w:val="none" w:sz="0" w:space="0" w:color="auto"/>
            </w:tcBorders>
            <w:shd w:val="clear" w:color="auto" w:fill="DBDBDB" w:themeFill="accent3" w:themeFillTint="66"/>
          </w:tcPr>
          <w:p w14:paraId="056C7546" w14:textId="77777777" w:rsidR="0067277A" w:rsidRPr="00CD05D2" w:rsidRDefault="0067277A" w:rsidP="00265D4F">
            <w:pPr>
              <w:pStyle w:val="NoSpacing"/>
              <w:rPr>
                <w:b w:val="0"/>
                <w:bCs w:val="0"/>
              </w:rPr>
            </w:pPr>
            <w:r w:rsidRPr="00CD05D2">
              <w:t>Type of Loss</w:t>
            </w:r>
          </w:p>
        </w:tc>
        <w:tc>
          <w:tcPr>
            <w:tcW w:w="3531" w:type="dxa"/>
            <w:tcBorders>
              <w:bottom w:val="none" w:sz="0" w:space="0" w:color="auto"/>
            </w:tcBorders>
            <w:shd w:val="clear" w:color="auto" w:fill="DBDBDB" w:themeFill="accent3" w:themeFillTint="66"/>
          </w:tcPr>
          <w:p w14:paraId="2CDBC0BE" w14:textId="77777777" w:rsidR="0067277A" w:rsidRPr="00CD05D2" w:rsidRDefault="0067277A" w:rsidP="00265D4F">
            <w:pPr>
              <w:pStyle w:val="NoSpacing"/>
              <w:cnfStyle w:val="100000000000" w:firstRow="1" w:lastRow="0" w:firstColumn="0" w:lastColumn="0" w:oddVBand="0" w:evenVBand="0" w:oddHBand="0" w:evenHBand="0" w:firstRowFirstColumn="0" w:firstRowLastColumn="0" w:lastRowFirstColumn="0" w:lastRowLastColumn="0"/>
              <w:rPr>
                <w:b w:val="0"/>
                <w:bCs w:val="0"/>
              </w:rPr>
            </w:pPr>
            <w:r w:rsidRPr="00CD05D2">
              <w:t>Severity of Loss</w:t>
            </w:r>
          </w:p>
        </w:tc>
      </w:tr>
      <w:tr w:rsidR="0067277A" w:rsidRPr="00CD05D2" w14:paraId="35AB782B" w14:textId="77777777" w:rsidTr="0026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Borders>
              <w:top w:val="none" w:sz="0" w:space="0" w:color="auto"/>
              <w:bottom w:val="none" w:sz="0" w:space="0" w:color="auto"/>
            </w:tcBorders>
          </w:tcPr>
          <w:p w14:paraId="4F396A61" w14:textId="77777777" w:rsidR="0067277A" w:rsidRPr="00CD05D2" w:rsidRDefault="0067277A" w:rsidP="00265D4F">
            <w:pPr>
              <w:pStyle w:val="NoSpacing"/>
              <w:rPr>
                <w:sz w:val="22"/>
                <w:szCs w:val="18"/>
              </w:rPr>
            </w:pPr>
            <w:r w:rsidRPr="00CD05D2">
              <w:rPr>
                <w:sz w:val="22"/>
                <w:szCs w:val="18"/>
              </w:rPr>
              <w:t>Seepage</w:t>
            </w:r>
          </w:p>
        </w:tc>
        <w:tc>
          <w:tcPr>
            <w:tcW w:w="3531" w:type="dxa"/>
            <w:tcBorders>
              <w:top w:val="none" w:sz="0" w:space="0" w:color="auto"/>
              <w:bottom w:val="none" w:sz="0" w:space="0" w:color="auto"/>
            </w:tcBorders>
          </w:tcPr>
          <w:p w14:paraId="68B2FD47" w14:textId="77777777" w:rsidR="0067277A" w:rsidRPr="00CD05D2" w:rsidRDefault="0067277A" w:rsidP="00265D4F">
            <w:pPr>
              <w:pStyle w:val="NoSpacing"/>
              <w:cnfStyle w:val="000000100000" w:firstRow="0" w:lastRow="0" w:firstColumn="0" w:lastColumn="0" w:oddVBand="0" w:evenVBand="0" w:oddHBand="1" w:evenHBand="0" w:firstRowFirstColumn="0" w:firstRowLastColumn="0" w:lastRowFirstColumn="0" w:lastRowLastColumn="0"/>
              <w:rPr>
                <w:sz w:val="22"/>
                <w:szCs w:val="18"/>
              </w:rPr>
            </w:pPr>
            <w:r w:rsidRPr="00CD05D2">
              <w:rPr>
                <w:sz w:val="22"/>
                <w:szCs w:val="18"/>
              </w:rPr>
              <w:t>Less than 1.6 m</w:t>
            </w:r>
            <w:r w:rsidRPr="00CD05D2">
              <w:rPr>
                <w:sz w:val="22"/>
                <w:szCs w:val="18"/>
                <w:vertAlign w:val="superscript"/>
              </w:rPr>
              <w:t>3</w:t>
            </w:r>
            <w:r w:rsidRPr="00CD05D2">
              <w:rPr>
                <w:sz w:val="22"/>
                <w:szCs w:val="18"/>
              </w:rPr>
              <w:t>/h [10 bbl./h]</w:t>
            </w:r>
          </w:p>
        </w:tc>
      </w:tr>
      <w:tr w:rsidR="0067277A" w:rsidRPr="00CD05D2" w14:paraId="7DFC1C35" w14:textId="77777777" w:rsidTr="00265D4F">
        <w:tc>
          <w:tcPr>
            <w:cnfStyle w:val="001000000000" w:firstRow="0" w:lastRow="0" w:firstColumn="1" w:lastColumn="0" w:oddVBand="0" w:evenVBand="0" w:oddHBand="0" w:evenHBand="0" w:firstRowFirstColumn="0" w:firstRowLastColumn="0" w:lastRowFirstColumn="0" w:lastRowLastColumn="0"/>
            <w:tcW w:w="1629" w:type="dxa"/>
          </w:tcPr>
          <w:p w14:paraId="0E2DC844" w14:textId="77777777" w:rsidR="0067277A" w:rsidRPr="00CD05D2" w:rsidRDefault="0067277A" w:rsidP="00265D4F">
            <w:pPr>
              <w:pStyle w:val="NoSpacing"/>
              <w:rPr>
                <w:sz w:val="22"/>
                <w:szCs w:val="18"/>
              </w:rPr>
            </w:pPr>
            <w:r w:rsidRPr="00CD05D2">
              <w:rPr>
                <w:sz w:val="22"/>
                <w:szCs w:val="18"/>
              </w:rPr>
              <w:t>Partial</w:t>
            </w:r>
          </w:p>
        </w:tc>
        <w:tc>
          <w:tcPr>
            <w:tcW w:w="3531" w:type="dxa"/>
          </w:tcPr>
          <w:p w14:paraId="0D68867D" w14:textId="77777777" w:rsidR="0067277A" w:rsidRPr="00CD05D2" w:rsidRDefault="0067277A" w:rsidP="00265D4F">
            <w:pPr>
              <w:pStyle w:val="NoSpacing"/>
              <w:cnfStyle w:val="000000000000" w:firstRow="0" w:lastRow="0" w:firstColumn="0" w:lastColumn="0" w:oddVBand="0" w:evenVBand="0" w:oddHBand="0" w:evenHBand="0" w:firstRowFirstColumn="0" w:firstRowLastColumn="0" w:lastRowFirstColumn="0" w:lastRowLastColumn="0"/>
              <w:rPr>
                <w:sz w:val="22"/>
                <w:szCs w:val="18"/>
              </w:rPr>
            </w:pPr>
            <w:r w:rsidRPr="00CD05D2">
              <w:rPr>
                <w:sz w:val="22"/>
                <w:szCs w:val="18"/>
              </w:rPr>
              <w:t>1.6 to 16 m</w:t>
            </w:r>
            <w:r w:rsidRPr="00CD05D2">
              <w:rPr>
                <w:sz w:val="22"/>
                <w:szCs w:val="18"/>
                <w:vertAlign w:val="superscript"/>
              </w:rPr>
              <w:t>3</w:t>
            </w:r>
            <w:r w:rsidRPr="00CD05D2">
              <w:rPr>
                <w:sz w:val="22"/>
                <w:szCs w:val="18"/>
              </w:rPr>
              <w:t>/h [10 to 100 bbl./h]</w:t>
            </w:r>
          </w:p>
        </w:tc>
      </w:tr>
      <w:tr w:rsidR="0067277A" w:rsidRPr="00CD05D2" w14:paraId="18183215" w14:textId="77777777" w:rsidTr="0026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tcBorders>
              <w:top w:val="none" w:sz="0" w:space="0" w:color="auto"/>
              <w:bottom w:val="none" w:sz="0" w:space="0" w:color="auto"/>
            </w:tcBorders>
          </w:tcPr>
          <w:p w14:paraId="4BD3234D" w14:textId="77777777" w:rsidR="0067277A" w:rsidRPr="00CD05D2" w:rsidRDefault="0067277A" w:rsidP="00265D4F">
            <w:pPr>
              <w:pStyle w:val="NoSpacing"/>
              <w:rPr>
                <w:sz w:val="22"/>
                <w:szCs w:val="18"/>
              </w:rPr>
            </w:pPr>
            <w:r w:rsidRPr="00CD05D2">
              <w:rPr>
                <w:sz w:val="22"/>
                <w:szCs w:val="18"/>
              </w:rPr>
              <w:t>Sever</w:t>
            </w:r>
          </w:p>
        </w:tc>
        <w:tc>
          <w:tcPr>
            <w:tcW w:w="3531" w:type="dxa"/>
            <w:tcBorders>
              <w:top w:val="none" w:sz="0" w:space="0" w:color="auto"/>
              <w:bottom w:val="none" w:sz="0" w:space="0" w:color="auto"/>
            </w:tcBorders>
          </w:tcPr>
          <w:p w14:paraId="7DFE1929" w14:textId="77777777" w:rsidR="0067277A" w:rsidRPr="00CD05D2" w:rsidRDefault="0067277A" w:rsidP="00265D4F">
            <w:pPr>
              <w:pStyle w:val="NoSpacing"/>
              <w:cnfStyle w:val="000000100000" w:firstRow="0" w:lastRow="0" w:firstColumn="0" w:lastColumn="0" w:oddVBand="0" w:evenVBand="0" w:oddHBand="1" w:evenHBand="0" w:firstRowFirstColumn="0" w:firstRowLastColumn="0" w:lastRowFirstColumn="0" w:lastRowLastColumn="0"/>
              <w:rPr>
                <w:sz w:val="22"/>
                <w:szCs w:val="18"/>
              </w:rPr>
            </w:pPr>
            <w:r w:rsidRPr="00CD05D2">
              <w:rPr>
                <w:sz w:val="22"/>
                <w:szCs w:val="18"/>
              </w:rPr>
              <w:t>More than 16m</w:t>
            </w:r>
            <w:r w:rsidRPr="00CD05D2">
              <w:rPr>
                <w:sz w:val="22"/>
                <w:szCs w:val="18"/>
                <w:vertAlign w:val="superscript"/>
              </w:rPr>
              <w:t>3</w:t>
            </w:r>
            <w:r w:rsidRPr="00CD05D2">
              <w:rPr>
                <w:sz w:val="22"/>
                <w:szCs w:val="18"/>
              </w:rPr>
              <w:t xml:space="preserve"> /h [ &gt;100 bbl./h]</w:t>
            </w:r>
          </w:p>
        </w:tc>
      </w:tr>
      <w:tr w:rsidR="0067277A" w:rsidRPr="00CD05D2" w14:paraId="69BF608A" w14:textId="77777777" w:rsidTr="00265D4F">
        <w:tc>
          <w:tcPr>
            <w:cnfStyle w:val="001000000000" w:firstRow="0" w:lastRow="0" w:firstColumn="1" w:lastColumn="0" w:oddVBand="0" w:evenVBand="0" w:oddHBand="0" w:evenHBand="0" w:firstRowFirstColumn="0" w:firstRowLastColumn="0" w:lastRowFirstColumn="0" w:lastRowLastColumn="0"/>
            <w:tcW w:w="1629" w:type="dxa"/>
          </w:tcPr>
          <w:p w14:paraId="73461097" w14:textId="77777777" w:rsidR="0067277A" w:rsidRPr="00CD05D2" w:rsidRDefault="0067277A" w:rsidP="00265D4F">
            <w:pPr>
              <w:pStyle w:val="NoSpacing"/>
              <w:rPr>
                <w:sz w:val="22"/>
                <w:szCs w:val="18"/>
              </w:rPr>
            </w:pPr>
            <w:r w:rsidRPr="00CD05D2">
              <w:rPr>
                <w:sz w:val="22"/>
                <w:szCs w:val="18"/>
              </w:rPr>
              <w:t>Total</w:t>
            </w:r>
          </w:p>
        </w:tc>
        <w:tc>
          <w:tcPr>
            <w:tcW w:w="3531" w:type="dxa"/>
          </w:tcPr>
          <w:p w14:paraId="61F75D33" w14:textId="77777777" w:rsidR="0067277A" w:rsidRPr="00CD05D2" w:rsidRDefault="0067277A" w:rsidP="00265D4F">
            <w:pPr>
              <w:pStyle w:val="NoSpacing"/>
              <w:cnfStyle w:val="000000000000" w:firstRow="0" w:lastRow="0" w:firstColumn="0" w:lastColumn="0" w:oddVBand="0" w:evenVBand="0" w:oddHBand="0" w:evenHBand="0" w:firstRowFirstColumn="0" w:firstRowLastColumn="0" w:lastRowFirstColumn="0" w:lastRowLastColumn="0"/>
              <w:rPr>
                <w:sz w:val="22"/>
                <w:szCs w:val="18"/>
              </w:rPr>
            </w:pPr>
            <w:r w:rsidRPr="00CD05D2">
              <w:rPr>
                <w:sz w:val="22"/>
                <w:szCs w:val="18"/>
              </w:rPr>
              <w:t>No fluid return to the surface</w:t>
            </w:r>
          </w:p>
        </w:tc>
      </w:tr>
    </w:tbl>
    <w:p w14:paraId="6640F6F0" w14:textId="07C5DADB" w:rsidR="0067277A" w:rsidRPr="00CD05D2" w:rsidRDefault="0067277A" w:rsidP="0067277A">
      <w:pPr>
        <w:pStyle w:val="Heading2"/>
        <w:numPr>
          <w:ilvl w:val="0"/>
          <w:numId w:val="0"/>
        </w:numPr>
        <w:ind w:left="567" w:hanging="567"/>
      </w:pPr>
      <w:r w:rsidRPr="00CD05D2">
        <w:t xml:space="preserve">    </w:t>
      </w:r>
      <w:r w:rsidRPr="00063A9E">
        <w:rPr>
          <w:b w:val="0"/>
          <w:bCs/>
        </w:rPr>
        <w:t>Table A7</w:t>
      </w:r>
      <w:r w:rsidRPr="00CD05D2">
        <w:rPr>
          <w:b w:val="0"/>
          <w:bCs/>
        </w:rPr>
        <w:t xml:space="preserve">: LCM selection methods </w:t>
      </w:r>
    </w:p>
    <w:tbl>
      <w:tblPr>
        <w:tblStyle w:val="PlainTable2"/>
        <w:tblW w:w="0" w:type="auto"/>
        <w:tblInd w:w="279" w:type="dxa"/>
        <w:tblBorders>
          <w:insideH w:val="single" w:sz="4" w:space="0" w:color="7F7F7F" w:themeColor="text1" w:themeTint="80"/>
        </w:tblBorders>
        <w:tblLook w:val="04A0" w:firstRow="1" w:lastRow="0" w:firstColumn="1" w:lastColumn="0" w:noHBand="0" w:noVBand="1"/>
      </w:tblPr>
      <w:tblGrid>
        <w:gridCol w:w="1979"/>
        <w:gridCol w:w="6211"/>
        <w:gridCol w:w="1308"/>
      </w:tblGrid>
      <w:tr w:rsidR="0067277A" w:rsidRPr="00CD05D2" w14:paraId="73DBE486" w14:textId="77777777" w:rsidTr="00265D4F">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984" w:type="dxa"/>
            <w:tcBorders>
              <w:bottom w:val="none" w:sz="0" w:space="0" w:color="auto"/>
            </w:tcBorders>
            <w:shd w:val="clear" w:color="auto" w:fill="DBDBDB" w:themeFill="accent3" w:themeFillTint="66"/>
          </w:tcPr>
          <w:p w14:paraId="654E54A3" w14:textId="77777777" w:rsidR="0067277A" w:rsidRPr="00CD05D2" w:rsidRDefault="0067277A" w:rsidP="00265D4F">
            <w:pPr>
              <w:pStyle w:val="NoSpacing"/>
              <w:rPr>
                <w:b w:val="0"/>
                <w:bCs w:val="0"/>
                <w:szCs w:val="24"/>
              </w:rPr>
            </w:pPr>
            <w:r w:rsidRPr="00CD05D2">
              <w:rPr>
                <w:szCs w:val="24"/>
              </w:rPr>
              <w:t>Authors</w:t>
            </w:r>
          </w:p>
        </w:tc>
        <w:tc>
          <w:tcPr>
            <w:tcW w:w="6237" w:type="dxa"/>
            <w:tcBorders>
              <w:bottom w:val="none" w:sz="0" w:space="0" w:color="auto"/>
            </w:tcBorders>
            <w:shd w:val="clear" w:color="auto" w:fill="DBDBDB" w:themeFill="accent3" w:themeFillTint="66"/>
          </w:tcPr>
          <w:p w14:paraId="0911F04C" w14:textId="77777777" w:rsidR="0067277A" w:rsidRPr="00CD05D2" w:rsidRDefault="0067277A" w:rsidP="00265D4F">
            <w:pPr>
              <w:pStyle w:val="NoSpacing"/>
              <w:cnfStyle w:val="100000000000" w:firstRow="1" w:lastRow="0" w:firstColumn="0" w:lastColumn="0" w:oddVBand="0" w:evenVBand="0" w:oddHBand="0" w:evenHBand="0" w:firstRowFirstColumn="0" w:firstRowLastColumn="0" w:lastRowFirstColumn="0" w:lastRowLastColumn="0"/>
              <w:rPr>
                <w:b w:val="0"/>
                <w:bCs w:val="0"/>
                <w:szCs w:val="24"/>
              </w:rPr>
            </w:pPr>
            <w:r w:rsidRPr="00CD05D2">
              <w:rPr>
                <w:szCs w:val="24"/>
              </w:rPr>
              <w:t>Rule of thumbs</w:t>
            </w:r>
          </w:p>
        </w:tc>
        <w:tc>
          <w:tcPr>
            <w:tcW w:w="1308" w:type="dxa"/>
            <w:tcBorders>
              <w:bottom w:val="none" w:sz="0" w:space="0" w:color="auto"/>
            </w:tcBorders>
            <w:shd w:val="clear" w:color="auto" w:fill="DBDBDB" w:themeFill="accent3" w:themeFillTint="66"/>
          </w:tcPr>
          <w:p w14:paraId="103C497C" w14:textId="77777777" w:rsidR="0067277A" w:rsidRPr="00CD05D2" w:rsidRDefault="0067277A" w:rsidP="00265D4F">
            <w:pPr>
              <w:pStyle w:val="NoSpacing"/>
              <w:cnfStyle w:val="100000000000" w:firstRow="1" w:lastRow="0" w:firstColumn="0" w:lastColumn="0" w:oddVBand="0" w:evenVBand="0" w:oddHBand="0" w:evenHBand="0" w:firstRowFirstColumn="0" w:firstRowLastColumn="0" w:lastRowFirstColumn="0" w:lastRowLastColumn="0"/>
              <w:rPr>
                <w:b w:val="0"/>
                <w:bCs w:val="0"/>
                <w:szCs w:val="24"/>
              </w:rPr>
            </w:pPr>
            <w:r w:rsidRPr="00CD05D2">
              <w:rPr>
                <w:szCs w:val="24"/>
              </w:rPr>
              <w:t>Reference</w:t>
            </w:r>
          </w:p>
        </w:tc>
      </w:tr>
      <w:tr w:rsidR="0067277A" w:rsidRPr="00CD05D2" w14:paraId="17CA2E9E" w14:textId="77777777" w:rsidTr="0026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none" w:sz="0" w:space="0" w:color="auto"/>
              <w:bottom w:val="none" w:sz="0" w:space="0" w:color="auto"/>
            </w:tcBorders>
          </w:tcPr>
          <w:p w14:paraId="55DAD7A6" w14:textId="77777777" w:rsidR="0067277A" w:rsidRPr="00CD05D2" w:rsidRDefault="0067277A" w:rsidP="00265D4F">
            <w:pPr>
              <w:pStyle w:val="NoSpacing"/>
              <w:rPr>
                <w:sz w:val="22"/>
                <w:szCs w:val="22"/>
              </w:rPr>
            </w:pPr>
            <w:r w:rsidRPr="00CD05D2">
              <w:rPr>
                <w:sz w:val="22"/>
                <w:szCs w:val="22"/>
              </w:rPr>
              <w:t xml:space="preserve">Abraham (1977) </w:t>
            </w:r>
          </w:p>
        </w:tc>
        <w:tc>
          <w:tcPr>
            <w:tcW w:w="6237" w:type="dxa"/>
            <w:tcBorders>
              <w:top w:val="none" w:sz="0" w:space="0" w:color="auto"/>
              <w:bottom w:val="none" w:sz="0" w:space="0" w:color="auto"/>
            </w:tcBorders>
          </w:tcPr>
          <w:p w14:paraId="478FD598" w14:textId="77777777" w:rsidR="0067277A" w:rsidRPr="00CD05D2" w:rsidRDefault="0067277A" w:rsidP="00265D4F">
            <w:pPr>
              <w:pStyle w:val="NoSpacing"/>
              <w:cnfStyle w:val="000000100000" w:firstRow="0" w:lastRow="0" w:firstColumn="0" w:lastColumn="0" w:oddVBand="0" w:evenVBand="0" w:oddHBand="1" w:evenHBand="0" w:firstRowFirstColumn="0" w:firstRowLastColumn="0" w:lastRowFirstColumn="0" w:lastRowLastColumn="0"/>
              <w:rPr>
                <w:sz w:val="22"/>
                <w:szCs w:val="22"/>
              </w:rPr>
            </w:pPr>
            <w:r w:rsidRPr="00CD05D2">
              <w:rPr>
                <w:sz w:val="22"/>
                <w:szCs w:val="22"/>
              </w:rPr>
              <w:t>D</w:t>
            </w:r>
            <w:r w:rsidRPr="00CD05D2">
              <w:rPr>
                <w:sz w:val="22"/>
                <w:szCs w:val="22"/>
                <w:vertAlign w:val="subscript"/>
              </w:rPr>
              <w:t>50</w:t>
            </w:r>
            <w:r w:rsidRPr="00CD05D2">
              <w:rPr>
                <w:sz w:val="22"/>
                <w:szCs w:val="22"/>
              </w:rPr>
              <w:t xml:space="preserve"> &gt;=1/3 of the median size of the formation pore. </w:t>
            </w:r>
          </w:p>
          <w:p w14:paraId="7401FD56" w14:textId="77777777" w:rsidR="0067277A" w:rsidRPr="00CD05D2" w:rsidRDefault="0067277A" w:rsidP="00265D4F">
            <w:pPr>
              <w:pStyle w:val="NoSpacing"/>
              <w:cnfStyle w:val="000000100000" w:firstRow="0" w:lastRow="0" w:firstColumn="0" w:lastColumn="0" w:oddVBand="0" w:evenVBand="0" w:oddHBand="1" w:evenHBand="0" w:firstRowFirstColumn="0" w:firstRowLastColumn="0" w:lastRowFirstColumn="0" w:lastRowLastColumn="0"/>
              <w:rPr>
                <w:sz w:val="22"/>
                <w:szCs w:val="22"/>
              </w:rPr>
            </w:pPr>
            <w:r w:rsidRPr="00CD05D2">
              <w:rPr>
                <w:sz w:val="22"/>
                <w:szCs w:val="22"/>
              </w:rPr>
              <w:t>The concentration of the LCM must be at least 5 percent by volume of the total solids in the final fluid mix</w:t>
            </w:r>
          </w:p>
        </w:tc>
        <w:tc>
          <w:tcPr>
            <w:tcW w:w="1308" w:type="dxa"/>
            <w:tcBorders>
              <w:top w:val="none" w:sz="0" w:space="0" w:color="auto"/>
              <w:bottom w:val="none" w:sz="0" w:space="0" w:color="auto"/>
            </w:tcBorders>
          </w:tcPr>
          <w:p w14:paraId="0B60B346" w14:textId="77777777" w:rsidR="0067277A" w:rsidRPr="00CD05D2" w:rsidRDefault="0067277A" w:rsidP="00265D4F">
            <w:pPr>
              <w:pStyle w:val="NoSpacing"/>
              <w:cnfStyle w:val="000000100000" w:firstRow="0" w:lastRow="0" w:firstColumn="0" w:lastColumn="0" w:oddVBand="0" w:evenVBand="0" w:oddHBand="1" w:evenHBand="0" w:firstRowFirstColumn="0" w:firstRowLastColumn="0" w:lastRowFirstColumn="0" w:lastRowLastColumn="0"/>
              <w:rPr>
                <w:sz w:val="22"/>
                <w:szCs w:val="22"/>
              </w:rPr>
            </w:pPr>
            <w:r w:rsidRPr="00CD05D2">
              <w:rPr>
                <w:sz w:val="22"/>
                <w:szCs w:val="22"/>
              </w:rPr>
              <w:t>[47]</w:t>
            </w:r>
          </w:p>
        </w:tc>
      </w:tr>
      <w:tr w:rsidR="0067277A" w:rsidRPr="00CD05D2" w14:paraId="6401F959" w14:textId="77777777" w:rsidTr="00265D4F">
        <w:tc>
          <w:tcPr>
            <w:cnfStyle w:val="001000000000" w:firstRow="0" w:lastRow="0" w:firstColumn="1" w:lastColumn="0" w:oddVBand="0" w:evenVBand="0" w:oddHBand="0" w:evenHBand="0" w:firstRowFirstColumn="0" w:firstRowLastColumn="0" w:lastRowFirstColumn="0" w:lastRowLastColumn="0"/>
            <w:tcW w:w="1984" w:type="dxa"/>
          </w:tcPr>
          <w:p w14:paraId="426B20FD" w14:textId="77777777" w:rsidR="0067277A" w:rsidRPr="00CD05D2" w:rsidRDefault="0067277A" w:rsidP="00265D4F">
            <w:pPr>
              <w:pStyle w:val="NoSpacing"/>
              <w:rPr>
                <w:sz w:val="22"/>
                <w:szCs w:val="22"/>
              </w:rPr>
            </w:pPr>
            <w:r w:rsidRPr="00CD05D2">
              <w:rPr>
                <w:sz w:val="22"/>
                <w:szCs w:val="22"/>
              </w:rPr>
              <w:t>Smith et al. (1996)</w:t>
            </w:r>
          </w:p>
        </w:tc>
        <w:tc>
          <w:tcPr>
            <w:tcW w:w="6237" w:type="dxa"/>
          </w:tcPr>
          <w:p w14:paraId="22DD6F97" w14:textId="77777777" w:rsidR="0067277A" w:rsidRPr="00CD05D2" w:rsidRDefault="0067277A" w:rsidP="00265D4F">
            <w:pPr>
              <w:pStyle w:val="NoSpacing"/>
              <w:cnfStyle w:val="000000000000" w:firstRow="0" w:lastRow="0" w:firstColumn="0" w:lastColumn="0" w:oddVBand="0" w:evenVBand="0" w:oddHBand="0" w:evenHBand="0" w:firstRowFirstColumn="0" w:firstRowLastColumn="0" w:lastRowFirstColumn="0" w:lastRowLastColumn="0"/>
              <w:rPr>
                <w:sz w:val="22"/>
                <w:szCs w:val="22"/>
              </w:rPr>
            </w:pPr>
            <w:r w:rsidRPr="00CD05D2">
              <w:rPr>
                <w:sz w:val="22"/>
                <w:szCs w:val="22"/>
              </w:rPr>
              <w:t>D</w:t>
            </w:r>
            <w:r w:rsidRPr="00CD05D2">
              <w:rPr>
                <w:sz w:val="22"/>
                <w:szCs w:val="22"/>
                <w:vertAlign w:val="subscript"/>
              </w:rPr>
              <w:t>90</w:t>
            </w:r>
            <w:r w:rsidRPr="00CD05D2">
              <w:rPr>
                <w:sz w:val="22"/>
                <w:szCs w:val="22"/>
              </w:rPr>
              <w:t xml:space="preserve"> = Formation average pore throat </w:t>
            </w:r>
          </w:p>
        </w:tc>
        <w:tc>
          <w:tcPr>
            <w:tcW w:w="1308" w:type="dxa"/>
          </w:tcPr>
          <w:p w14:paraId="240EB9FE" w14:textId="77777777" w:rsidR="0067277A" w:rsidRPr="00CD05D2" w:rsidRDefault="0067277A" w:rsidP="00265D4F">
            <w:pPr>
              <w:pStyle w:val="NoSpacing"/>
              <w:cnfStyle w:val="000000000000" w:firstRow="0" w:lastRow="0" w:firstColumn="0" w:lastColumn="0" w:oddVBand="0" w:evenVBand="0" w:oddHBand="0" w:evenHBand="0" w:firstRowFirstColumn="0" w:firstRowLastColumn="0" w:lastRowFirstColumn="0" w:lastRowLastColumn="0"/>
              <w:rPr>
                <w:sz w:val="22"/>
                <w:szCs w:val="22"/>
              </w:rPr>
            </w:pPr>
            <w:r w:rsidRPr="00CD05D2">
              <w:rPr>
                <w:sz w:val="22"/>
                <w:szCs w:val="22"/>
              </w:rPr>
              <w:t xml:space="preserve"> [48]</w:t>
            </w:r>
          </w:p>
        </w:tc>
      </w:tr>
      <w:tr w:rsidR="0067277A" w:rsidRPr="00CD05D2" w14:paraId="7E23737F" w14:textId="77777777" w:rsidTr="00265D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Borders>
              <w:top w:val="none" w:sz="0" w:space="0" w:color="auto"/>
              <w:bottom w:val="none" w:sz="0" w:space="0" w:color="auto"/>
            </w:tcBorders>
          </w:tcPr>
          <w:p w14:paraId="3AC7AE63" w14:textId="77777777" w:rsidR="0067277A" w:rsidRPr="00CD05D2" w:rsidRDefault="0067277A" w:rsidP="00265D4F">
            <w:pPr>
              <w:pStyle w:val="NoSpacing"/>
              <w:rPr>
                <w:sz w:val="22"/>
                <w:szCs w:val="22"/>
              </w:rPr>
            </w:pPr>
            <w:r w:rsidRPr="00CD05D2">
              <w:rPr>
                <w:sz w:val="22"/>
                <w:szCs w:val="22"/>
              </w:rPr>
              <w:t>Vickers et al. (2006)</w:t>
            </w:r>
          </w:p>
        </w:tc>
        <w:tc>
          <w:tcPr>
            <w:tcW w:w="6237" w:type="dxa"/>
            <w:tcBorders>
              <w:top w:val="none" w:sz="0" w:space="0" w:color="auto"/>
              <w:bottom w:val="none" w:sz="0" w:space="0" w:color="auto"/>
            </w:tcBorders>
          </w:tcPr>
          <w:p w14:paraId="1979EAC0" w14:textId="77777777" w:rsidR="0067277A" w:rsidRPr="00CD05D2" w:rsidRDefault="0067277A" w:rsidP="00265D4F">
            <w:pPr>
              <w:pStyle w:val="NoSpacing"/>
              <w:cnfStyle w:val="000000100000" w:firstRow="0" w:lastRow="0" w:firstColumn="0" w:lastColumn="0" w:oddVBand="0" w:evenVBand="0" w:oddHBand="1" w:evenHBand="0" w:firstRowFirstColumn="0" w:firstRowLastColumn="0" w:lastRowFirstColumn="0" w:lastRowLastColumn="0"/>
              <w:rPr>
                <w:sz w:val="22"/>
                <w:szCs w:val="22"/>
              </w:rPr>
            </w:pPr>
            <w:r w:rsidRPr="00CD05D2">
              <w:rPr>
                <w:sz w:val="22"/>
                <w:szCs w:val="22"/>
              </w:rPr>
              <w:t>D</w:t>
            </w:r>
            <w:r w:rsidRPr="00CD05D2">
              <w:rPr>
                <w:sz w:val="22"/>
                <w:szCs w:val="22"/>
                <w:vertAlign w:val="subscript"/>
              </w:rPr>
              <w:t>90</w:t>
            </w:r>
            <w:r w:rsidRPr="00CD05D2">
              <w:rPr>
                <w:sz w:val="22"/>
                <w:szCs w:val="22"/>
              </w:rPr>
              <w:t xml:space="preserve"> = Largest pore throat </w:t>
            </w:r>
          </w:p>
          <w:p w14:paraId="752F98F8" w14:textId="77777777" w:rsidR="0067277A" w:rsidRPr="00CD05D2" w:rsidRDefault="0067277A" w:rsidP="00265D4F">
            <w:pPr>
              <w:pStyle w:val="NoSpacing"/>
              <w:cnfStyle w:val="000000100000" w:firstRow="0" w:lastRow="0" w:firstColumn="0" w:lastColumn="0" w:oddVBand="0" w:evenVBand="0" w:oddHBand="1" w:evenHBand="0" w:firstRowFirstColumn="0" w:firstRowLastColumn="0" w:lastRowFirstColumn="0" w:lastRowLastColumn="0"/>
              <w:rPr>
                <w:sz w:val="22"/>
                <w:szCs w:val="22"/>
              </w:rPr>
            </w:pPr>
            <w:r w:rsidRPr="00CD05D2">
              <w:rPr>
                <w:sz w:val="22"/>
                <w:szCs w:val="22"/>
              </w:rPr>
              <w:t>D</w:t>
            </w:r>
            <w:r w:rsidRPr="00CD05D2">
              <w:rPr>
                <w:sz w:val="22"/>
                <w:szCs w:val="22"/>
                <w:vertAlign w:val="subscript"/>
              </w:rPr>
              <w:t>75</w:t>
            </w:r>
            <w:r w:rsidRPr="00CD05D2">
              <w:rPr>
                <w:sz w:val="22"/>
                <w:szCs w:val="22"/>
              </w:rPr>
              <w:t xml:space="preserve"> &lt; 2/3 of the largest pore throat </w:t>
            </w:r>
          </w:p>
          <w:p w14:paraId="3E0C5E66" w14:textId="77777777" w:rsidR="0067277A" w:rsidRPr="00CD05D2" w:rsidRDefault="0067277A" w:rsidP="00265D4F">
            <w:pPr>
              <w:pStyle w:val="NoSpacing"/>
              <w:cnfStyle w:val="000000100000" w:firstRow="0" w:lastRow="0" w:firstColumn="0" w:lastColumn="0" w:oddVBand="0" w:evenVBand="0" w:oddHBand="1" w:evenHBand="0" w:firstRowFirstColumn="0" w:firstRowLastColumn="0" w:lastRowFirstColumn="0" w:lastRowLastColumn="0"/>
              <w:rPr>
                <w:sz w:val="22"/>
                <w:szCs w:val="22"/>
              </w:rPr>
            </w:pPr>
            <w:r w:rsidRPr="00CD05D2">
              <w:rPr>
                <w:sz w:val="22"/>
                <w:szCs w:val="22"/>
              </w:rPr>
              <w:t>D</w:t>
            </w:r>
            <w:r w:rsidRPr="00CD05D2">
              <w:rPr>
                <w:sz w:val="22"/>
                <w:szCs w:val="22"/>
                <w:vertAlign w:val="subscript"/>
              </w:rPr>
              <w:t>50</w:t>
            </w:r>
            <w:r w:rsidRPr="00CD05D2">
              <w:rPr>
                <w:sz w:val="22"/>
                <w:szCs w:val="22"/>
              </w:rPr>
              <w:t xml:space="preserve"> = &gt; 1/3 of the mean pore throat </w:t>
            </w:r>
          </w:p>
          <w:p w14:paraId="7B8E5614" w14:textId="77777777" w:rsidR="0067277A" w:rsidRPr="00CD05D2" w:rsidRDefault="0067277A" w:rsidP="00265D4F">
            <w:pPr>
              <w:pStyle w:val="NoSpacing"/>
              <w:cnfStyle w:val="000000100000" w:firstRow="0" w:lastRow="0" w:firstColumn="0" w:lastColumn="0" w:oddVBand="0" w:evenVBand="0" w:oddHBand="1" w:evenHBand="0" w:firstRowFirstColumn="0" w:firstRowLastColumn="0" w:lastRowFirstColumn="0" w:lastRowLastColumn="0"/>
              <w:rPr>
                <w:sz w:val="22"/>
                <w:szCs w:val="22"/>
              </w:rPr>
            </w:pPr>
            <w:r w:rsidRPr="00CD05D2">
              <w:rPr>
                <w:sz w:val="22"/>
                <w:szCs w:val="22"/>
              </w:rPr>
              <w:t>D</w:t>
            </w:r>
            <w:r w:rsidRPr="00CD05D2">
              <w:rPr>
                <w:sz w:val="22"/>
                <w:szCs w:val="22"/>
                <w:vertAlign w:val="subscript"/>
              </w:rPr>
              <w:t>25</w:t>
            </w:r>
            <w:r w:rsidRPr="00CD05D2">
              <w:rPr>
                <w:sz w:val="22"/>
                <w:szCs w:val="22"/>
              </w:rPr>
              <w:t xml:space="preserve"> =1/7 of the mean pore throat </w:t>
            </w:r>
          </w:p>
          <w:p w14:paraId="1E89341B" w14:textId="77777777" w:rsidR="0067277A" w:rsidRPr="00CD05D2" w:rsidRDefault="0067277A" w:rsidP="00265D4F">
            <w:pPr>
              <w:pStyle w:val="NoSpacing"/>
              <w:cnfStyle w:val="000000100000" w:firstRow="0" w:lastRow="0" w:firstColumn="0" w:lastColumn="0" w:oddVBand="0" w:evenVBand="0" w:oddHBand="1" w:evenHBand="0" w:firstRowFirstColumn="0" w:firstRowLastColumn="0" w:lastRowFirstColumn="0" w:lastRowLastColumn="0"/>
              <w:rPr>
                <w:sz w:val="22"/>
                <w:szCs w:val="22"/>
              </w:rPr>
            </w:pPr>
            <w:r w:rsidRPr="00CD05D2">
              <w:rPr>
                <w:sz w:val="22"/>
                <w:szCs w:val="22"/>
              </w:rPr>
              <w:t>D</w:t>
            </w:r>
            <w:r w:rsidRPr="00CD05D2">
              <w:rPr>
                <w:sz w:val="22"/>
                <w:szCs w:val="22"/>
                <w:vertAlign w:val="subscript"/>
              </w:rPr>
              <w:t>10</w:t>
            </w:r>
            <w:r w:rsidRPr="00CD05D2">
              <w:rPr>
                <w:sz w:val="22"/>
                <w:szCs w:val="22"/>
              </w:rPr>
              <w:t xml:space="preserve"> &gt; Smallest pore throat</w:t>
            </w:r>
          </w:p>
        </w:tc>
        <w:tc>
          <w:tcPr>
            <w:tcW w:w="1308" w:type="dxa"/>
            <w:tcBorders>
              <w:top w:val="none" w:sz="0" w:space="0" w:color="auto"/>
              <w:bottom w:val="none" w:sz="0" w:space="0" w:color="auto"/>
            </w:tcBorders>
          </w:tcPr>
          <w:p w14:paraId="10A0A696" w14:textId="77777777" w:rsidR="0067277A" w:rsidRPr="00CD05D2" w:rsidRDefault="0067277A" w:rsidP="00265D4F">
            <w:pPr>
              <w:pStyle w:val="NoSpacing"/>
              <w:cnfStyle w:val="000000100000" w:firstRow="0" w:lastRow="0" w:firstColumn="0" w:lastColumn="0" w:oddVBand="0" w:evenVBand="0" w:oddHBand="1" w:evenHBand="0" w:firstRowFirstColumn="0" w:firstRowLastColumn="0" w:lastRowFirstColumn="0" w:lastRowLastColumn="0"/>
              <w:rPr>
                <w:sz w:val="22"/>
                <w:szCs w:val="22"/>
              </w:rPr>
            </w:pPr>
            <w:r w:rsidRPr="00CD05D2">
              <w:rPr>
                <w:sz w:val="22"/>
                <w:szCs w:val="22"/>
              </w:rPr>
              <w:t xml:space="preserve"> [49]</w:t>
            </w:r>
          </w:p>
        </w:tc>
      </w:tr>
      <w:tr w:rsidR="0067277A" w:rsidRPr="00D00990" w14:paraId="1E74A55D" w14:textId="77777777" w:rsidTr="00265D4F">
        <w:trPr>
          <w:trHeight w:val="250"/>
        </w:trPr>
        <w:tc>
          <w:tcPr>
            <w:cnfStyle w:val="001000000000" w:firstRow="0" w:lastRow="0" w:firstColumn="1" w:lastColumn="0" w:oddVBand="0" w:evenVBand="0" w:oddHBand="0" w:evenHBand="0" w:firstRowFirstColumn="0" w:firstRowLastColumn="0" w:lastRowFirstColumn="0" w:lastRowLastColumn="0"/>
            <w:tcW w:w="1984" w:type="dxa"/>
          </w:tcPr>
          <w:p w14:paraId="3112D961" w14:textId="77777777" w:rsidR="0067277A" w:rsidRPr="00CD05D2" w:rsidRDefault="0067277A" w:rsidP="00265D4F">
            <w:pPr>
              <w:pStyle w:val="NoSpacing"/>
              <w:rPr>
                <w:sz w:val="22"/>
                <w:szCs w:val="22"/>
              </w:rPr>
            </w:pPr>
            <w:proofErr w:type="spellStart"/>
            <w:r w:rsidRPr="00CD05D2">
              <w:rPr>
                <w:sz w:val="22"/>
                <w:szCs w:val="22"/>
              </w:rPr>
              <w:t>Whitfill</w:t>
            </w:r>
            <w:proofErr w:type="spellEnd"/>
            <w:r w:rsidRPr="00CD05D2">
              <w:rPr>
                <w:sz w:val="22"/>
                <w:szCs w:val="22"/>
              </w:rPr>
              <w:t xml:space="preserve"> (2008) </w:t>
            </w:r>
          </w:p>
        </w:tc>
        <w:tc>
          <w:tcPr>
            <w:tcW w:w="6237" w:type="dxa"/>
          </w:tcPr>
          <w:p w14:paraId="3B2A3D06" w14:textId="77777777" w:rsidR="0067277A" w:rsidRPr="00CD05D2" w:rsidRDefault="0067277A" w:rsidP="00265D4F">
            <w:pPr>
              <w:pStyle w:val="NoSpacing"/>
              <w:cnfStyle w:val="000000000000" w:firstRow="0" w:lastRow="0" w:firstColumn="0" w:lastColumn="0" w:oddVBand="0" w:evenVBand="0" w:oddHBand="0" w:evenHBand="0" w:firstRowFirstColumn="0" w:firstRowLastColumn="0" w:lastRowFirstColumn="0" w:lastRowLastColumn="0"/>
              <w:rPr>
                <w:sz w:val="22"/>
                <w:szCs w:val="22"/>
              </w:rPr>
            </w:pPr>
            <w:r w:rsidRPr="00CD05D2">
              <w:rPr>
                <w:sz w:val="22"/>
                <w:szCs w:val="22"/>
              </w:rPr>
              <w:t>D</w:t>
            </w:r>
            <w:r w:rsidRPr="00CD05D2">
              <w:rPr>
                <w:sz w:val="22"/>
                <w:szCs w:val="22"/>
                <w:vertAlign w:val="subscript"/>
              </w:rPr>
              <w:t>50</w:t>
            </w:r>
            <w:r w:rsidRPr="00CD05D2">
              <w:rPr>
                <w:sz w:val="22"/>
                <w:szCs w:val="22"/>
              </w:rPr>
              <w:t xml:space="preserve"> =Fracture width</w:t>
            </w:r>
          </w:p>
        </w:tc>
        <w:tc>
          <w:tcPr>
            <w:tcW w:w="1308" w:type="dxa"/>
          </w:tcPr>
          <w:p w14:paraId="5E73E067" w14:textId="77777777" w:rsidR="0067277A" w:rsidRPr="00D00990" w:rsidRDefault="0067277A" w:rsidP="00265D4F">
            <w:pPr>
              <w:pStyle w:val="NoSpacing"/>
              <w:cnfStyle w:val="000000000000" w:firstRow="0" w:lastRow="0" w:firstColumn="0" w:lastColumn="0" w:oddVBand="0" w:evenVBand="0" w:oddHBand="0" w:evenHBand="0" w:firstRowFirstColumn="0" w:firstRowLastColumn="0" w:lastRowFirstColumn="0" w:lastRowLastColumn="0"/>
              <w:rPr>
                <w:sz w:val="22"/>
                <w:szCs w:val="22"/>
              </w:rPr>
            </w:pPr>
            <w:r w:rsidRPr="00CD05D2">
              <w:rPr>
                <w:sz w:val="22"/>
                <w:szCs w:val="22"/>
              </w:rPr>
              <w:t xml:space="preserve"> [50]</w:t>
            </w:r>
          </w:p>
        </w:tc>
      </w:tr>
    </w:tbl>
    <w:p w14:paraId="5B046B16" w14:textId="77777777" w:rsidR="00A70C46" w:rsidRDefault="00A70C46" w:rsidP="0067277A"/>
    <w:sectPr w:rsidR="00A70C46" w:rsidSect="000726FA">
      <w:headerReference w:type="even" r:id="rId15"/>
      <w:headerReference w:type="default" r:id="rId16"/>
      <w:footerReference w:type="even" r:id="rId17"/>
      <w:footerReference w:type="default" r:id="rId18"/>
      <w:headerReference w:type="first" r:id="rId19"/>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5C06A" w14:textId="77777777" w:rsidR="00677443" w:rsidRDefault="00677443">
      <w:pPr>
        <w:spacing w:before="0" w:after="0"/>
      </w:pPr>
      <w:r>
        <w:separator/>
      </w:r>
    </w:p>
  </w:endnote>
  <w:endnote w:type="continuationSeparator" w:id="0">
    <w:p w14:paraId="1FC96912" w14:textId="77777777" w:rsidR="00677443" w:rsidRDefault="006774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AD76" w14:textId="77777777" w:rsidR="00686C9D" w:rsidRPr="00577C4C" w:rsidRDefault="0067277A">
    <w:pPr>
      <w:pStyle w:val="Footer"/>
      <w:rPr>
        <w:color w:val="C00000"/>
        <w:szCs w:val="24"/>
      </w:rPr>
    </w:pPr>
    <w:r>
      <w:rPr>
        <w:noProof/>
      </w:rPr>
      <mc:AlternateContent>
        <mc:Choice Requires="wps">
          <w:drawing>
            <wp:anchor distT="0" distB="0" distL="114300" distR="114300" simplePos="0" relativeHeight="251660288" behindDoc="0" locked="0" layoutInCell="1" allowOverlap="1" wp14:anchorId="19BCA581" wp14:editId="75261223">
              <wp:simplePos x="0" y="0"/>
              <wp:positionH relativeFrom="margin">
                <wp:align>right</wp:align>
              </wp:positionH>
              <wp:positionV relativeFrom="bottomMargin">
                <wp:align>top</wp:align>
              </wp:positionV>
              <wp:extent cx="1508760" cy="328295"/>
              <wp:effectExtent l="0" t="0" r="0" b="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28295"/>
                      </a:xfrm>
                      <a:prstGeom prst="rect">
                        <a:avLst/>
                      </a:prstGeom>
                      <a:noFill/>
                      <a:ln w="6350">
                        <a:noFill/>
                      </a:ln>
                      <a:effectLst/>
                    </wps:spPr>
                    <wps:txbx>
                      <w:txbxContent>
                        <w:p w14:paraId="301794E6" w14:textId="77777777" w:rsidR="00686C9D" w:rsidRPr="00577C4C" w:rsidRDefault="0067277A">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9BCA581" id="_x0000_t202" coordsize="21600,21600" o:spt="202" path="m,l,21600r21600,l21600,xe">
              <v:stroke joinstyle="miter"/>
              <v:path gradientshapeok="t" o:connecttype="rect"/>
            </v:shapetype>
            <v:shape id="Tekstboks 4" o:spid="_x0000_s1026" type="#_x0000_t202" style="position:absolute;margin-left:67.6pt;margin-top:0;width:118.8pt;height:25.8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" filled="f" stroked="f" strokeweight=".5pt">
              <v:textbox style="mso-fit-shape-to-text:t">
                <w:txbxContent>
                  <w:p w14:paraId="301794E6" w14:textId="77777777" w:rsidR="00686C9D" w:rsidRPr="00577C4C" w:rsidRDefault="0067277A">
                    <w:pPr>
                      <w:pStyle w:val="Bunntekst"/>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D210" w14:textId="77777777" w:rsidR="00686C9D" w:rsidRPr="00577C4C" w:rsidRDefault="0067277A">
    <w:pPr>
      <w:pStyle w:val="Footer"/>
      <w:rPr>
        <w:b/>
        <w:sz w:val="20"/>
        <w:szCs w:val="24"/>
      </w:rPr>
    </w:pPr>
    <w:r>
      <w:rPr>
        <w:noProof/>
      </w:rPr>
      <mc:AlternateContent>
        <mc:Choice Requires="wps">
          <w:drawing>
            <wp:anchor distT="0" distB="0" distL="114300" distR="114300" simplePos="0" relativeHeight="251659264" behindDoc="0" locked="0" layoutInCell="1" allowOverlap="1" wp14:anchorId="5092C578" wp14:editId="29AE7712">
              <wp:simplePos x="0" y="0"/>
              <wp:positionH relativeFrom="margin">
                <wp:align>right</wp:align>
              </wp:positionH>
              <wp:positionV relativeFrom="bottomMargin">
                <wp:align>top</wp:align>
              </wp:positionV>
              <wp:extent cx="1508760" cy="328295"/>
              <wp:effectExtent l="0" t="0" r="0" b="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28295"/>
                      </a:xfrm>
                      <a:prstGeom prst="rect">
                        <a:avLst/>
                      </a:prstGeom>
                      <a:noFill/>
                      <a:ln w="6350">
                        <a:noFill/>
                      </a:ln>
                      <a:effectLst/>
                    </wps:spPr>
                    <wps:txbx>
                      <w:txbxContent>
                        <w:p w14:paraId="178F9B93" w14:textId="77777777" w:rsidR="00686C9D" w:rsidRPr="00577C4C" w:rsidRDefault="0067277A">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092C578" id="_x0000_t202" coordsize="21600,21600" o:spt="202" path="m,l,21600r21600,l21600,xe">
              <v:stroke joinstyle="miter"/>
              <v:path gradientshapeok="t" o:connecttype="rect"/>
            </v:shapetype>
            <v:shape id="Tekstboks 2" o:spid="_x0000_s1027" type="#_x0000_t202" style="position:absolute;margin-left:67.6pt;margin-top:0;width:118.8pt;height:25.8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" filled="f" stroked="f" strokeweight=".5pt">
              <v:textbox style="mso-fit-shape-to-text:t">
                <w:txbxContent>
                  <w:p w14:paraId="178F9B93" w14:textId="77777777" w:rsidR="00686C9D" w:rsidRPr="00577C4C" w:rsidRDefault="0067277A">
                    <w:pPr>
                      <w:pStyle w:val="Bunntekst"/>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6B79" w14:textId="77777777" w:rsidR="00677443" w:rsidRDefault="00677443">
      <w:pPr>
        <w:spacing w:before="0" w:after="0"/>
      </w:pPr>
      <w:r>
        <w:separator/>
      </w:r>
    </w:p>
  </w:footnote>
  <w:footnote w:type="continuationSeparator" w:id="0">
    <w:p w14:paraId="6E744B5D" w14:textId="77777777" w:rsidR="00677443" w:rsidRDefault="0067744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84D7" w14:textId="77777777" w:rsidR="00686C9D" w:rsidRPr="007E3148" w:rsidRDefault="0067277A" w:rsidP="00A53000">
    <w:pPr>
      <w:pStyle w:val="Header"/>
    </w:pPr>
    <w:r w:rsidRPr="007E3148">
      <w:ptab w:relativeTo="margin" w:alignment="center" w:leader="none"/>
    </w:r>
    <w:r w:rsidRPr="007E3148">
      <w:ptab w:relativeTo="margin" w:alignment="right" w:leader="none"/>
    </w:r>
    <w:r w:rsidRPr="007E3148">
      <w:t>Running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63FF" w14:textId="77777777" w:rsidR="00686C9D" w:rsidRPr="00A53000" w:rsidRDefault="0067277A" w:rsidP="00A53000">
    <w:pPr>
      <w:pStyle w:val="Header"/>
    </w:pPr>
    <w:r w:rsidRPr="007E3148">
      <w:ptab w:relativeTo="margin" w:alignment="center" w:leader="none"/>
    </w:r>
    <w:r w:rsidRPr="007E3148">
      <w:ptab w:relativeTo="margin" w:alignment="right" w:leader="none"/>
    </w:r>
    <w:r w:rsidRPr="00A53000">
      <w:t>Running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B217" w14:textId="77777777" w:rsidR="00686C9D" w:rsidRDefault="0067277A" w:rsidP="00A53000">
    <w:pPr>
      <w:pStyle w:val="Header"/>
    </w:pPr>
    <w:r w:rsidRPr="005A1D84">
      <w:rPr>
        <w:noProof/>
        <w:color w:val="A6A6A6" w:themeColor="background1" w:themeShade="A6"/>
        <w:lang w:val="en-GB" w:eastAsia="en-GB"/>
      </w:rPr>
      <w:drawing>
        <wp:inline distT="0" distB="0" distL="0" distR="0" wp14:anchorId="251AA54A" wp14:editId="0A43C0C2">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F2C6210C"/>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2835"/>
        </w:tabs>
        <w:ind w:left="2835" w:hanging="567"/>
      </w:pPr>
      <w:rPr>
        <w:rFonts w:hint="default"/>
      </w:rPr>
    </w:lvl>
    <w:lvl w:ilvl="3">
      <w:start w:val="1"/>
      <w:numFmt w:val="decimal"/>
      <w:pStyle w:val="Heading4"/>
      <w:lvlText w:val="%1.%2.%3.%4"/>
      <w:lvlJc w:val="left"/>
      <w:pPr>
        <w:tabs>
          <w:tab w:val="num" w:pos="2410"/>
        </w:tabs>
        <w:ind w:left="2410"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2835"/>
          </w:tabs>
          <w:ind w:left="2835" w:hanging="567"/>
        </w:pPr>
        <w:rPr>
          <w:rFonts w:hint="default"/>
          <w:sz w:val="24"/>
          <w:szCs w:val="24"/>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0szQ0MDc0NrAwtDRQ0lEKTi0uzszPAykwrgUAXdepNiwAAAA="/>
  </w:docVars>
  <w:rsids>
    <w:rsidRoot w:val="0067277A"/>
    <w:rsid w:val="000726FA"/>
    <w:rsid w:val="000A1D97"/>
    <w:rsid w:val="0053124F"/>
    <w:rsid w:val="00643215"/>
    <w:rsid w:val="0067277A"/>
    <w:rsid w:val="00677443"/>
    <w:rsid w:val="00A70C46"/>
  </w:rsids>
  <m:mathPr>
    <m:mathFont m:val="Cambria Math"/>
    <m:brkBin m:val="before"/>
    <m:brkBinSub m:val="--"/>
    <m:smallFrac m:val="0"/>
    <m:dispDef/>
    <m:lMargin m:val="0"/>
    <m:rMargin m:val="0"/>
    <m:defJc m:val="centerGroup"/>
    <m:wrapIndent m:val="1440"/>
    <m:intLim m:val="subSup"/>
    <m:naryLim m:val="undOvr"/>
  </m:mathPr>
  <w:themeFontLang w:val="nb-NO"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A9FFA"/>
  <w15:chartTrackingRefBased/>
  <w15:docId w15:val="{673AB0AE-A27A-4857-8AEB-5AEBB2ED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77A"/>
    <w:pPr>
      <w:spacing w:before="120" w:after="240" w:line="240" w:lineRule="auto"/>
    </w:pPr>
    <w:rPr>
      <w:rFonts w:ascii="Times New Roman" w:eastAsiaTheme="minorEastAsia" w:hAnsi="Times New Roman"/>
      <w:sz w:val="24"/>
      <w:lang w:val="en-US"/>
    </w:rPr>
  </w:style>
  <w:style w:type="paragraph" w:styleId="Heading1">
    <w:name w:val="heading 1"/>
    <w:basedOn w:val="ListParagraph"/>
    <w:next w:val="Normal"/>
    <w:link w:val="Heading1Char"/>
    <w:uiPriority w:val="2"/>
    <w:qFormat/>
    <w:rsid w:val="0067277A"/>
    <w:pPr>
      <w:numPr>
        <w:numId w:val="1"/>
      </w:numPr>
      <w:spacing w:before="240"/>
      <w:contextualSpacing w:val="0"/>
      <w:outlineLvl w:val="0"/>
    </w:pPr>
    <w:rPr>
      <w:rFonts w:eastAsia="Cambria" w:cs="Times New Roman"/>
      <w:b/>
      <w:szCs w:val="24"/>
    </w:rPr>
  </w:style>
  <w:style w:type="paragraph" w:styleId="Heading2">
    <w:name w:val="heading 2"/>
    <w:basedOn w:val="Heading1"/>
    <w:next w:val="Normal"/>
    <w:link w:val="Heading2Char"/>
    <w:uiPriority w:val="2"/>
    <w:qFormat/>
    <w:rsid w:val="0067277A"/>
    <w:pPr>
      <w:numPr>
        <w:ilvl w:val="1"/>
      </w:numPr>
      <w:spacing w:after="200"/>
      <w:outlineLvl w:val="1"/>
    </w:pPr>
  </w:style>
  <w:style w:type="paragraph" w:styleId="Heading3">
    <w:name w:val="heading 3"/>
    <w:basedOn w:val="Normal"/>
    <w:next w:val="Normal"/>
    <w:link w:val="Heading3Char"/>
    <w:uiPriority w:val="2"/>
    <w:qFormat/>
    <w:rsid w:val="0067277A"/>
    <w:pPr>
      <w:keepNext/>
      <w:keepLines/>
      <w:numPr>
        <w:ilvl w:val="2"/>
        <w:numId w:val="1"/>
      </w:numPr>
      <w:tabs>
        <w:tab w:val="clear" w:pos="2835"/>
        <w:tab w:val="num" w:pos="567"/>
        <w:tab w:val="num" w:pos="2551"/>
      </w:tabs>
      <w:spacing w:before="40" w:after="120"/>
      <w:ind w:left="567"/>
      <w:outlineLvl w:val="2"/>
    </w:pPr>
    <w:rPr>
      <w:rFonts w:eastAsiaTheme="majorEastAsia" w:cstheme="majorBidi"/>
      <w:b/>
      <w:szCs w:val="24"/>
    </w:rPr>
  </w:style>
  <w:style w:type="paragraph" w:styleId="Heading4">
    <w:name w:val="heading 4"/>
    <w:basedOn w:val="Heading3"/>
    <w:next w:val="Normal"/>
    <w:link w:val="Heading4Char"/>
    <w:uiPriority w:val="2"/>
    <w:qFormat/>
    <w:rsid w:val="0067277A"/>
    <w:pPr>
      <w:numPr>
        <w:ilvl w:val="3"/>
      </w:numPr>
      <w:outlineLvl w:val="3"/>
    </w:pPr>
    <w:rPr>
      <w:iCs/>
    </w:rPr>
  </w:style>
  <w:style w:type="paragraph" w:styleId="Heading5">
    <w:name w:val="heading 5"/>
    <w:basedOn w:val="Heading4"/>
    <w:next w:val="Normal"/>
    <w:link w:val="Heading5Char"/>
    <w:qFormat/>
    <w:rsid w:val="0067277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7277A"/>
    <w:rPr>
      <w:rFonts w:ascii="Times New Roman" w:eastAsia="Cambria" w:hAnsi="Times New Roman" w:cs="Times New Roman"/>
      <w:b/>
      <w:sz w:val="24"/>
      <w:szCs w:val="24"/>
      <w:lang w:val="en-US"/>
    </w:rPr>
  </w:style>
  <w:style w:type="character" w:customStyle="1" w:styleId="Heading2Char">
    <w:name w:val="Heading 2 Char"/>
    <w:basedOn w:val="DefaultParagraphFont"/>
    <w:link w:val="Heading2"/>
    <w:uiPriority w:val="2"/>
    <w:rsid w:val="0067277A"/>
    <w:rPr>
      <w:rFonts w:ascii="Times New Roman" w:eastAsia="Cambria" w:hAnsi="Times New Roman" w:cs="Times New Roman"/>
      <w:b/>
      <w:sz w:val="24"/>
      <w:szCs w:val="24"/>
      <w:lang w:val="en-US"/>
    </w:rPr>
  </w:style>
  <w:style w:type="character" w:customStyle="1" w:styleId="Heading3Char">
    <w:name w:val="Heading 3 Char"/>
    <w:basedOn w:val="DefaultParagraphFont"/>
    <w:link w:val="Heading3"/>
    <w:uiPriority w:val="2"/>
    <w:rsid w:val="0067277A"/>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2"/>
    <w:rsid w:val="0067277A"/>
    <w:rPr>
      <w:rFonts w:ascii="Times New Roman" w:eastAsiaTheme="majorEastAsia" w:hAnsi="Times New Roman" w:cstheme="majorBidi"/>
      <w:b/>
      <w:iCs/>
      <w:sz w:val="24"/>
      <w:szCs w:val="24"/>
      <w:lang w:val="en-US"/>
    </w:rPr>
  </w:style>
  <w:style w:type="character" w:customStyle="1" w:styleId="Heading5Char">
    <w:name w:val="Heading 5 Char"/>
    <w:basedOn w:val="DefaultParagraphFont"/>
    <w:link w:val="Heading5"/>
    <w:rsid w:val="0067277A"/>
    <w:rPr>
      <w:rFonts w:ascii="Times New Roman" w:eastAsiaTheme="majorEastAsia" w:hAnsi="Times New Roman" w:cstheme="majorBidi"/>
      <w:b/>
      <w:iCs/>
      <w:sz w:val="24"/>
      <w:szCs w:val="24"/>
      <w:lang w:val="en-US"/>
    </w:rPr>
  </w:style>
  <w:style w:type="paragraph" w:styleId="Header">
    <w:name w:val="header"/>
    <w:basedOn w:val="Normal"/>
    <w:link w:val="HeaderChar"/>
    <w:uiPriority w:val="99"/>
    <w:unhideWhenUsed/>
    <w:rsid w:val="0067277A"/>
    <w:pPr>
      <w:tabs>
        <w:tab w:val="center" w:pos="4844"/>
        <w:tab w:val="right" w:pos="9689"/>
      </w:tabs>
    </w:pPr>
    <w:rPr>
      <w:b/>
    </w:rPr>
  </w:style>
  <w:style w:type="character" w:customStyle="1" w:styleId="HeaderChar">
    <w:name w:val="Header Char"/>
    <w:basedOn w:val="DefaultParagraphFont"/>
    <w:link w:val="Header"/>
    <w:uiPriority w:val="99"/>
    <w:rsid w:val="0067277A"/>
    <w:rPr>
      <w:rFonts w:ascii="Times New Roman" w:eastAsiaTheme="minorEastAsia" w:hAnsi="Times New Roman"/>
      <w:b/>
      <w:sz w:val="24"/>
      <w:lang w:val="en-US"/>
    </w:rPr>
  </w:style>
  <w:style w:type="paragraph" w:styleId="Footer">
    <w:name w:val="footer"/>
    <w:basedOn w:val="Normal"/>
    <w:link w:val="FooterChar"/>
    <w:unhideWhenUsed/>
    <w:rsid w:val="0067277A"/>
    <w:pPr>
      <w:tabs>
        <w:tab w:val="center" w:pos="4844"/>
        <w:tab w:val="right" w:pos="9689"/>
      </w:tabs>
      <w:spacing w:after="0"/>
    </w:pPr>
  </w:style>
  <w:style w:type="character" w:customStyle="1" w:styleId="FooterChar">
    <w:name w:val="Footer Char"/>
    <w:basedOn w:val="DefaultParagraphFont"/>
    <w:link w:val="Footer"/>
    <w:rsid w:val="0067277A"/>
    <w:rPr>
      <w:rFonts w:ascii="Times New Roman" w:eastAsiaTheme="minorEastAsia" w:hAnsi="Times New Roman"/>
      <w:sz w:val="24"/>
      <w:lang w:val="en-US"/>
    </w:rPr>
  </w:style>
  <w:style w:type="character" w:styleId="CommentReference">
    <w:name w:val="annotation reference"/>
    <w:basedOn w:val="DefaultParagraphFont"/>
    <w:uiPriority w:val="99"/>
    <w:semiHidden/>
    <w:unhideWhenUsed/>
    <w:rsid w:val="0067277A"/>
    <w:rPr>
      <w:sz w:val="16"/>
      <w:szCs w:val="16"/>
    </w:rPr>
  </w:style>
  <w:style w:type="paragraph" w:styleId="CommentText">
    <w:name w:val="annotation text"/>
    <w:basedOn w:val="Normal"/>
    <w:link w:val="CommentTextChar"/>
    <w:uiPriority w:val="99"/>
    <w:unhideWhenUsed/>
    <w:rsid w:val="0067277A"/>
    <w:rPr>
      <w:sz w:val="20"/>
      <w:szCs w:val="20"/>
    </w:rPr>
  </w:style>
  <w:style w:type="character" w:customStyle="1" w:styleId="CommentTextChar">
    <w:name w:val="Comment Text Char"/>
    <w:basedOn w:val="DefaultParagraphFont"/>
    <w:link w:val="CommentText"/>
    <w:uiPriority w:val="99"/>
    <w:rsid w:val="0067277A"/>
    <w:rPr>
      <w:rFonts w:ascii="Times New Roman" w:eastAsiaTheme="minorEastAsia" w:hAnsi="Times New Roman"/>
      <w:sz w:val="20"/>
      <w:szCs w:val="20"/>
      <w:lang w:val="en-US"/>
    </w:rPr>
  </w:style>
  <w:style w:type="paragraph" w:styleId="NoSpacing">
    <w:name w:val="No Spacing"/>
    <w:uiPriority w:val="1"/>
    <w:unhideWhenUsed/>
    <w:qFormat/>
    <w:rsid w:val="0067277A"/>
    <w:pPr>
      <w:spacing w:after="0" w:line="240" w:lineRule="auto"/>
    </w:pPr>
    <w:rPr>
      <w:rFonts w:ascii="Times New Roman" w:eastAsiaTheme="minorEastAsia" w:hAnsi="Times New Roman"/>
      <w:sz w:val="24"/>
      <w:lang w:val="en-US"/>
    </w:rPr>
  </w:style>
  <w:style w:type="numbering" w:customStyle="1" w:styleId="Headings">
    <w:name w:val="Headings"/>
    <w:uiPriority w:val="99"/>
    <w:rsid w:val="0067277A"/>
    <w:pPr>
      <w:numPr>
        <w:numId w:val="2"/>
      </w:numPr>
    </w:pPr>
  </w:style>
  <w:style w:type="paragraph" w:styleId="BodyText">
    <w:name w:val="Body Text"/>
    <w:basedOn w:val="Normal"/>
    <w:link w:val="BodyTextChar"/>
    <w:rsid w:val="0067277A"/>
    <w:pPr>
      <w:widowControl w:val="0"/>
      <w:overflowPunct w:val="0"/>
      <w:autoSpaceDE w:val="0"/>
      <w:autoSpaceDN w:val="0"/>
      <w:adjustRightInd w:val="0"/>
      <w:spacing w:before="0" w:after="120"/>
      <w:textAlignment w:val="baseline"/>
    </w:pPr>
    <w:rPr>
      <w:rFonts w:eastAsia="Times New Roman" w:cs="Times New Roman"/>
      <w:sz w:val="20"/>
      <w:szCs w:val="20"/>
    </w:rPr>
  </w:style>
  <w:style w:type="character" w:customStyle="1" w:styleId="BodyTextChar">
    <w:name w:val="Body Text Char"/>
    <w:basedOn w:val="DefaultParagraphFont"/>
    <w:link w:val="BodyText"/>
    <w:rsid w:val="0067277A"/>
    <w:rPr>
      <w:rFonts w:ascii="Times New Roman" w:eastAsia="Times New Roman" w:hAnsi="Times New Roman" w:cs="Times New Roman"/>
      <w:sz w:val="20"/>
      <w:szCs w:val="20"/>
      <w:lang w:val="en-US"/>
    </w:rPr>
  </w:style>
  <w:style w:type="table" w:styleId="PlainTable2">
    <w:name w:val="Plain Table 2"/>
    <w:basedOn w:val="TableNormal"/>
    <w:uiPriority w:val="42"/>
    <w:rsid w:val="0067277A"/>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2">
    <w:name w:val="Body Text 2"/>
    <w:basedOn w:val="Normal"/>
    <w:link w:val="BodyText2Char"/>
    <w:rsid w:val="0067277A"/>
    <w:pPr>
      <w:widowControl w:val="0"/>
      <w:overflowPunct w:val="0"/>
      <w:autoSpaceDE w:val="0"/>
      <w:autoSpaceDN w:val="0"/>
      <w:adjustRightInd w:val="0"/>
      <w:spacing w:before="0" w:after="120" w:line="480" w:lineRule="auto"/>
      <w:textAlignment w:val="baseline"/>
    </w:pPr>
    <w:rPr>
      <w:rFonts w:eastAsia="Times New Roman" w:cs="Times New Roman"/>
      <w:sz w:val="20"/>
      <w:szCs w:val="20"/>
    </w:rPr>
  </w:style>
  <w:style w:type="character" w:customStyle="1" w:styleId="BodyText2Char">
    <w:name w:val="Body Text 2 Char"/>
    <w:basedOn w:val="DefaultParagraphFont"/>
    <w:link w:val="BodyText2"/>
    <w:rsid w:val="0067277A"/>
    <w:rPr>
      <w:rFonts w:ascii="Times New Roman" w:eastAsia="Times New Roman" w:hAnsi="Times New Roman" w:cs="Times New Roman"/>
      <w:sz w:val="20"/>
      <w:szCs w:val="20"/>
      <w:lang w:val="en-US"/>
    </w:rPr>
  </w:style>
  <w:style w:type="paragraph" w:customStyle="1" w:styleId="Head4">
    <w:name w:val="Head4"/>
    <w:basedOn w:val="Normal"/>
    <w:next w:val="Normal"/>
    <w:rsid w:val="0067277A"/>
    <w:pPr>
      <w:suppressAutoHyphens/>
      <w:overflowPunct w:val="0"/>
      <w:autoSpaceDE w:val="0"/>
      <w:autoSpaceDN w:val="0"/>
      <w:adjustRightInd w:val="0"/>
      <w:spacing w:before="0" w:after="0"/>
      <w:ind w:firstLine="288"/>
      <w:jc w:val="both"/>
      <w:textAlignment w:val="baseline"/>
    </w:pPr>
    <w:rPr>
      <w:rFonts w:eastAsia="Times New Roman" w:cs="Times New Roman"/>
      <w:i/>
      <w:sz w:val="20"/>
      <w:szCs w:val="20"/>
    </w:rPr>
  </w:style>
  <w:style w:type="paragraph" w:styleId="ListParagraph">
    <w:name w:val="List Paragraph"/>
    <w:basedOn w:val="Normal"/>
    <w:uiPriority w:val="34"/>
    <w:qFormat/>
    <w:rsid w:val="0067277A"/>
    <w:pPr>
      <w:ind w:left="720"/>
      <w:contextualSpacing/>
    </w:pPr>
  </w:style>
  <w:style w:type="character" w:styleId="LineNumber">
    <w:name w:val="line number"/>
    <w:basedOn w:val="DefaultParagraphFont"/>
    <w:uiPriority w:val="99"/>
    <w:semiHidden/>
    <w:unhideWhenUsed/>
    <w:rsid w:val="00672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Mesfin Belayneh Agonafir</dc:creator>
  <cp:keywords/>
  <dc:description/>
  <cp:lastModifiedBy>George Alexander</cp:lastModifiedBy>
  <cp:revision>4</cp:revision>
  <dcterms:created xsi:type="dcterms:W3CDTF">2022-10-25T10:58:00Z</dcterms:created>
  <dcterms:modified xsi:type="dcterms:W3CDTF">2022-11-14T15:52:00Z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7fce66-bf2d-46b5-b59a-9f0018501bcd_Enabled">
    <vt:lpwstr>true</vt:lpwstr>
  </property>
  <property fmtid="{D5CDD505-2E9C-101B-9397-08002B2CF9AE}" pid="3" name="MSIP_Label_2b7fce66-bf2d-46b5-b59a-9f0018501bcd_SetDate">
    <vt:lpwstr>2022-10-25T10:58:26Z</vt:lpwstr>
  </property>
  <property fmtid="{D5CDD505-2E9C-101B-9397-08002B2CF9AE}" pid="4" name="MSIP_Label_2b7fce66-bf2d-46b5-b59a-9f0018501bcd_Method">
    <vt:lpwstr>Standard</vt:lpwstr>
  </property>
  <property fmtid="{D5CDD505-2E9C-101B-9397-08002B2CF9AE}" pid="5" name="MSIP_Label_2b7fce66-bf2d-46b5-b59a-9f0018501bcd_Name">
    <vt:lpwstr>s_Intern</vt:lpwstr>
  </property>
  <property fmtid="{D5CDD505-2E9C-101B-9397-08002B2CF9AE}" pid="6" name="MSIP_Label_2b7fce66-bf2d-46b5-b59a-9f0018501bcd_SiteId">
    <vt:lpwstr>f8a213d2-8f6c-400d-9e74-4e8b475316c6</vt:lpwstr>
  </property>
  <property fmtid="{D5CDD505-2E9C-101B-9397-08002B2CF9AE}" pid="7" name="MSIP_Label_2b7fce66-bf2d-46b5-b59a-9f0018501bcd_ActionId">
    <vt:lpwstr>b18f87a4-712d-49f0-a0f1-74bb1c1a4463</vt:lpwstr>
  </property>
  <property fmtid="{D5CDD505-2E9C-101B-9397-08002B2CF9AE}" pid="8" name="MSIP_Label_2b7fce66-bf2d-46b5-b59a-9f0018501bcd_ContentBits">
    <vt:lpwstr>0</vt:lpwstr>
  </property>
</Properties>
</file>