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F857" w14:textId="65655247" w:rsidR="00150C11" w:rsidRDefault="00547AA2" w:rsidP="006975BE">
      <w:pPr>
        <w:rPr>
          <w:color w:val="000000" w:themeColor="text1"/>
        </w:rPr>
      </w:pPr>
      <w:r>
        <w:rPr>
          <w:noProof/>
          <w:color w:val="000000" w:themeColor="text1"/>
        </w:rPr>
        <w:drawing>
          <wp:inline distT="0" distB="0" distL="0" distR="0" wp14:anchorId="7A50DBD6" wp14:editId="28FD4C80">
            <wp:extent cx="2918354" cy="6858000"/>
            <wp:effectExtent l="0" t="0" r="317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8354" cy="6858000"/>
                    </a:xfrm>
                    <a:prstGeom prst="rect">
                      <a:avLst/>
                    </a:prstGeom>
                  </pic:spPr>
                </pic:pic>
              </a:graphicData>
            </a:graphic>
          </wp:inline>
        </w:drawing>
      </w:r>
    </w:p>
    <w:p w14:paraId="7B124FDF" w14:textId="77777777" w:rsidR="00547AA2" w:rsidRPr="00266CA0" w:rsidRDefault="00547AA2" w:rsidP="006975BE">
      <w:pPr>
        <w:rPr>
          <w:color w:val="000000" w:themeColor="text1"/>
        </w:rPr>
      </w:pPr>
    </w:p>
    <w:p w14:paraId="07FEDCA4" w14:textId="2B834051" w:rsidR="006975BE" w:rsidRPr="00266CA0" w:rsidRDefault="006975BE" w:rsidP="006975BE">
      <w:pPr>
        <w:rPr>
          <w:color w:val="000000" w:themeColor="text1"/>
        </w:rPr>
      </w:pPr>
      <w:r w:rsidRPr="0031295A">
        <w:rPr>
          <w:b/>
          <w:bCs/>
          <w:color w:val="000000" w:themeColor="text1"/>
        </w:rPr>
        <w:t>Supplementary Figure 1.</w:t>
      </w:r>
      <w:r w:rsidRPr="00266CA0">
        <w:rPr>
          <w:color w:val="000000" w:themeColor="text1"/>
        </w:rPr>
        <w:t xml:space="preserve"> Individual variation in how alerting </w:t>
      </w:r>
      <w:r w:rsidRPr="00266CA0">
        <w:rPr>
          <w:bCs/>
          <w:color w:val="000000" w:themeColor="text1"/>
          <w:shd w:val="clear" w:color="auto" w:fill="FFFFFF"/>
        </w:rPr>
        <w:t>(reaction time difference score for no cue – double cue)</w:t>
      </w:r>
      <w:r w:rsidRPr="00266CA0">
        <w:rPr>
          <w:color w:val="000000" w:themeColor="text1"/>
        </w:rPr>
        <w:t xml:space="preserve"> changes within incongruent, congruent, and neutral trials from time one to time two for each participant. Green shading represents better attention and red shading poorer attention. The individual data depicts a similar pattern to the whole-group analysis: alerting attention is relatively poor for all participants within incongruent trials at time one and improves at time two for the happy music listening group. </w:t>
      </w:r>
    </w:p>
    <w:p w14:paraId="36B4FB40" w14:textId="7D73EB4D" w:rsidR="006975BE" w:rsidRPr="00266CA0" w:rsidRDefault="00547AA2" w:rsidP="006975BE">
      <w:pPr>
        <w:rPr>
          <w:color w:val="000000" w:themeColor="text1"/>
        </w:rPr>
      </w:pPr>
      <w:r>
        <w:rPr>
          <w:noProof/>
          <w:color w:val="000000" w:themeColor="text1"/>
        </w:rPr>
        <w:lastRenderedPageBreak/>
        <w:drawing>
          <wp:inline distT="0" distB="0" distL="0" distR="0" wp14:anchorId="6316EBF2" wp14:editId="10F3494C">
            <wp:extent cx="2901950" cy="6858000"/>
            <wp:effectExtent l="0" t="0" r="635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1950" cy="6858000"/>
                    </a:xfrm>
                    <a:prstGeom prst="rect">
                      <a:avLst/>
                    </a:prstGeom>
                  </pic:spPr>
                </pic:pic>
              </a:graphicData>
            </a:graphic>
          </wp:inline>
        </w:drawing>
      </w:r>
    </w:p>
    <w:p w14:paraId="0B49A4C6" w14:textId="77777777" w:rsidR="00A80492" w:rsidRPr="00266CA0" w:rsidRDefault="00A80492" w:rsidP="006975BE">
      <w:pPr>
        <w:rPr>
          <w:color w:val="000000" w:themeColor="text1"/>
        </w:rPr>
      </w:pPr>
    </w:p>
    <w:p w14:paraId="1D088CCA" w14:textId="45673E16" w:rsidR="006975BE" w:rsidRPr="00266CA0" w:rsidRDefault="006975BE" w:rsidP="006975BE">
      <w:pPr>
        <w:rPr>
          <w:color w:val="000000" w:themeColor="text1"/>
          <w:rtl/>
        </w:rPr>
        <w:sectPr w:rsidR="006975BE" w:rsidRPr="00266CA0" w:rsidSect="006975B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pPr>
      <w:r w:rsidRPr="0031295A">
        <w:rPr>
          <w:b/>
          <w:bCs/>
          <w:color w:val="000000" w:themeColor="text1"/>
        </w:rPr>
        <w:t>Supplementary Figure 2.</w:t>
      </w:r>
      <w:r w:rsidRPr="00266CA0">
        <w:rPr>
          <w:color w:val="000000" w:themeColor="text1"/>
        </w:rPr>
        <w:t xml:space="preserve"> Individual variation in how orienting </w:t>
      </w:r>
      <w:r w:rsidRPr="00266CA0">
        <w:rPr>
          <w:bCs/>
          <w:color w:val="000000" w:themeColor="text1"/>
          <w:shd w:val="clear" w:color="auto" w:fill="FFFFFF"/>
        </w:rPr>
        <w:t xml:space="preserve">(reaction time difference score for center cue – valid spatial cue) </w:t>
      </w:r>
      <w:r w:rsidRPr="00266CA0">
        <w:rPr>
          <w:color w:val="000000" w:themeColor="text1"/>
        </w:rPr>
        <w:t>changes within incongruent, congruent, and neutral trials from time one to time two for each participant. Green shading represents better attention and red shading poorer attention. The individual data suggests that happy music may help to maintain orienting attention on the most challenging, incongruent trials</w:t>
      </w:r>
      <w:r w:rsidR="00A80492" w:rsidRPr="00266CA0">
        <w:rPr>
          <w:color w:val="000000" w:themeColor="text1"/>
        </w:rPr>
        <w:t>.</w:t>
      </w:r>
    </w:p>
    <w:p w14:paraId="21BDCAEE" w14:textId="43C0278A" w:rsidR="00612015" w:rsidRPr="007E3321" w:rsidRDefault="00612015" w:rsidP="00612015">
      <w:pPr>
        <w:rPr>
          <w:b/>
          <w:bCs/>
          <w:color w:val="000000" w:themeColor="text1"/>
        </w:rPr>
      </w:pPr>
      <w:r w:rsidRPr="007E3321">
        <w:rPr>
          <w:b/>
          <w:bCs/>
          <w:color w:val="000000" w:themeColor="text1"/>
        </w:rPr>
        <w:lastRenderedPageBreak/>
        <w:t>Exploratory analyses looking at the influence of education</w:t>
      </w:r>
      <w:r w:rsidR="001426E6" w:rsidRPr="007E3321">
        <w:rPr>
          <w:b/>
          <w:bCs/>
          <w:color w:val="000000" w:themeColor="text1"/>
        </w:rPr>
        <w:t>,</w:t>
      </w:r>
      <w:r w:rsidR="00CA1657" w:rsidRPr="007E3321">
        <w:rPr>
          <w:b/>
          <w:bCs/>
          <w:color w:val="000000" w:themeColor="text1"/>
        </w:rPr>
        <w:t xml:space="preserve"> </w:t>
      </w:r>
      <w:r w:rsidRPr="007E3321">
        <w:rPr>
          <w:b/>
          <w:bCs/>
          <w:color w:val="000000" w:themeColor="text1"/>
        </w:rPr>
        <w:t>age</w:t>
      </w:r>
      <w:r w:rsidR="001426E6" w:rsidRPr="007E3321">
        <w:rPr>
          <w:b/>
          <w:bCs/>
          <w:color w:val="000000" w:themeColor="text1"/>
        </w:rPr>
        <w:t>, and gender</w:t>
      </w:r>
      <w:r w:rsidR="00CA1657" w:rsidRPr="007E3321">
        <w:rPr>
          <w:b/>
          <w:bCs/>
          <w:color w:val="000000" w:themeColor="text1"/>
        </w:rPr>
        <w:t xml:space="preserve"> </w:t>
      </w:r>
      <w:r w:rsidRPr="007E3321">
        <w:rPr>
          <w:b/>
          <w:bCs/>
          <w:color w:val="000000" w:themeColor="text1"/>
        </w:rPr>
        <w:t xml:space="preserve">on the relationships between happy music and alerting and sad music and executive </w:t>
      </w:r>
      <w:r w:rsidR="00CA1657" w:rsidRPr="007E3321">
        <w:rPr>
          <w:b/>
          <w:bCs/>
          <w:color w:val="000000" w:themeColor="text1"/>
        </w:rPr>
        <w:t>c</w:t>
      </w:r>
      <w:r w:rsidRPr="007E3321">
        <w:rPr>
          <w:b/>
          <w:bCs/>
          <w:color w:val="000000" w:themeColor="text1"/>
        </w:rPr>
        <w:t>ontrol.</w:t>
      </w:r>
    </w:p>
    <w:p w14:paraId="53F6B9C5" w14:textId="4114295E" w:rsidR="00612015" w:rsidRPr="007E3321" w:rsidRDefault="00A64D54" w:rsidP="00612015">
      <w:pPr>
        <w:ind w:firstLine="720"/>
        <w:rPr>
          <w:color w:val="000000" w:themeColor="text1"/>
        </w:rPr>
      </w:pPr>
      <w:r w:rsidRPr="007E3321">
        <w:rPr>
          <w:color w:val="000000" w:themeColor="text1"/>
        </w:rPr>
        <w:t>High education was defined as having at least a bachelor’s degree and l</w:t>
      </w:r>
      <w:r w:rsidR="00107C54" w:rsidRPr="007E3321">
        <w:rPr>
          <w:color w:val="000000" w:themeColor="text1"/>
        </w:rPr>
        <w:t>ow education as having less than a bachelor’s degree</w:t>
      </w:r>
      <w:r w:rsidRPr="007E3321">
        <w:rPr>
          <w:color w:val="000000" w:themeColor="text1"/>
        </w:rPr>
        <w:t>. Middle</w:t>
      </w:r>
      <w:r w:rsidR="007E3321">
        <w:rPr>
          <w:color w:val="000000" w:themeColor="text1"/>
        </w:rPr>
        <w:t>-</w:t>
      </w:r>
      <w:r w:rsidRPr="007E3321">
        <w:rPr>
          <w:color w:val="000000" w:themeColor="text1"/>
        </w:rPr>
        <w:t>age was defined as 59 years or younger and older</w:t>
      </w:r>
      <w:r w:rsidR="007E3321">
        <w:rPr>
          <w:color w:val="000000" w:themeColor="text1"/>
        </w:rPr>
        <w:t>-</w:t>
      </w:r>
      <w:r w:rsidRPr="007E3321">
        <w:rPr>
          <w:color w:val="000000" w:themeColor="text1"/>
        </w:rPr>
        <w:t xml:space="preserve">age as 60 years or older. </w:t>
      </w:r>
      <w:r w:rsidR="00612015" w:rsidRPr="007E3321">
        <w:rPr>
          <w:color w:val="000000" w:themeColor="text1"/>
        </w:rPr>
        <w:t>The following results should be interpreted with caution given the small sample size and overall homogeneity of the participant sample.</w:t>
      </w:r>
    </w:p>
    <w:p w14:paraId="7B095028" w14:textId="470910D9" w:rsidR="00A64D54" w:rsidRPr="007E3321" w:rsidRDefault="00612015" w:rsidP="00612015">
      <w:pPr>
        <w:ind w:firstLine="720"/>
        <w:rPr>
          <w:color w:val="000000" w:themeColor="text1"/>
        </w:rPr>
      </w:pPr>
      <w:r w:rsidRPr="007E3321">
        <w:rPr>
          <w:b/>
          <w:bCs/>
          <w:color w:val="000000" w:themeColor="text1"/>
        </w:rPr>
        <w:t>Happy Music and Alerting.</w:t>
      </w:r>
      <w:r w:rsidRPr="007E3321">
        <w:rPr>
          <w:color w:val="000000" w:themeColor="text1"/>
        </w:rPr>
        <w:t xml:space="preserve"> Seven</w:t>
      </w:r>
      <w:r w:rsidR="00A64D54" w:rsidRPr="007E3321">
        <w:rPr>
          <w:color w:val="000000" w:themeColor="text1"/>
        </w:rPr>
        <w:t xml:space="preserve"> participants had low education and 12</w:t>
      </w:r>
      <w:r w:rsidRPr="007E3321">
        <w:rPr>
          <w:color w:val="000000" w:themeColor="text1"/>
        </w:rPr>
        <w:t xml:space="preserve"> had</w:t>
      </w:r>
      <w:r w:rsidR="00A64D54" w:rsidRPr="007E3321">
        <w:rPr>
          <w:color w:val="000000" w:themeColor="text1"/>
        </w:rPr>
        <w:t xml:space="preserve"> high education; 8 participants were middle-aged and 11 participants older-aged</w:t>
      </w:r>
      <w:r w:rsidR="001426E6" w:rsidRPr="007E3321">
        <w:rPr>
          <w:color w:val="000000" w:themeColor="text1"/>
        </w:rPr>
        <w:t>; 3 participants were male and 16 were female</w:t>
      </w:r>
      <w:r w:rsidR="00A64D54" w:rsidRPr="007E3321">
        <w:rPr>
          <w:color w:val="000000" w:themeColor="text1"/>
        </w:rPr>
        <w:t xml:space="preserve">. </w:t>
      </w:r>
      <w:r w:rsidR="00A41AF5">
        <w:rPr>
          <w:color w:val="000000" w:themeColor="text1"/>
        </w:rPr>
        <w:t>Attention across t</w:t>
      </w:r>
      <w:r w:rsidR="00107C54" w:rsidRPr="007E3321">
        <w:rPr>
          <w:color w:val="000000" w:themeColor="text1"/>
        </w:rPr>
        <w:t>ime</w:t>
      </w:r>
      <w:r w:rsidR="00A64D54" w:rsidRPr="007E3321">
        <w:rPr>
          <w:color w:val="000000" w:themeColor="text1"/>
        </w:rPr>
        <w:t xml:space="preserve"> did not interact with education</w:t>
      </w:r>
      <w:r w:rsidR="00107C54" w:rsidRPr="007E3321">
        <w:rPr>
          <w:color w:val="000000" w:themeColor="text1"/>
        </w:rPr>
        <w:t xml:space="preserve"> (</w:t>
      </w:r>
      <w:proofErr w:type="gramStart"/>
      <w:r w:rsidR="00107C54" w:rsidRPr="007E3321">
        <w:rPr>
          <w:color w:val="000000" w:themeColor="text1"/>
        </w:rPr>
        <w:t>F(</w:t>
      </w:r>
      <w:proofErr w:type="gramEnd"/>
      <w:r w:rsidR="00107C54" w:rsidRPr="007E3321">
        <w:rPr>
          <w:color w:val="000000" w:themeColor="text1"/>
        </w:rPr>
        <w:t xml:space="preserve">1,17)=0.002, </w:t>
      </w:r>
      <w:r w:rsidR="00107C54" w:rsidRPr="007E3321">
        <w:rPr>
          <w:i/>
          <w:iCs/>
          <w:color w:val="000000" w:themeColor="text1"/>
        </w:rPr>
        <w:t>p=</w:t>
      </w:r>
      <w:r w:rsidR="00107C54" w:rsidRPr="007E3321">
        <w:rPr>
          <w:color w:val="000000" w:themeColor="text1"/>
        </w:rPr>
        <w:t>.96)</w:t>
      </w:r>
      <w:r w:rsidR="001426E6" w:rsidRPr="007E3321">
        <w:rPr>
          <w:color w:val="000000" w:themeColor="text1"/>
        </w:rPr>
        <w:t>,</w:t>
      </w:r>
      <w:r w:rsidR="00107C54" w:rsidRPr="007E3321">
        <w:rPr>
          <w:color w:val="000000" w:themeColor="text1"/>
        </w:rPr>
        <w:t xml:space="preserve"> </w:t>
      </w:r>
      <w:r w:rsidR="00A64D54" w:rsidRPr="007E3321">
        <w:rPr>
          <w:color w:val="000000" w:themeColor="text1"/>
        </w:rPr>
        <w:t xml:space="preserve">age (F(1,17)=1.62, </w:t>
      </w:r>
      <w:r w:rsidR="00A64D54" w:rsidRPr="007E3321">
        <w:rPr>
          <w:i/>
          <w:iCs/>
          <w:color w:val="000000" w:themeColor="text1"/>
        </w:rPr>
        <w:t>p=</w:t>
      </w:r>
      <w:r w:rsidR="00A64D54" w:rsidRPr="007E3321">
        <w:rPr>
          <w:color w:val="000000" w:themeColor="text1"/>
        </w:rPr>
        <w:t>.22)</w:t>
      </w:r>
      <w:r w:rsidR="001426E6" w:rsidRPr="007E3321">
        <w:rPr>
          <w:color w:val="000000" w:themeColor="text1"/>
        </w:rPr>
        <w:t xml:space="preserve">, or gender (F(1,17)=2.67, </w:t>
      </w:r>
      <w:r w:rsidR="001426E6" w:rsidRPr="007E3321">
        <w:rPr>
          <w:i/>
          <w:iCs/>
          <w:color w:val="000000" w:themeColor="text1"/>
        </w:rPr>
        <w:t>p=</w:t>
      </w:r>
      <w:r w:rsidR="001426E6" w:rsidRPr="007E3321">
        <w:rPr>
          <w:color w:val="000000" w:themeColor="text1"/>
        </w:rPr>
        <w:t>.12)</w:t>
      </w:r>
      <w:r w:rsidR="00A64D54" w:rsidRPr="007E3321">
        <w:rPr>
          <w:color w:val="000000" w:themeColor="text1"/>
        </w:rPr>
        <w:t>.</w:t>
      </w:r>
    </w:p>
    <w:p w14:paraId="1A1B3EB4" w14:textId="2F937E95" w:rsidR="00612015" w:rsidRPr="007E3321" w:rsidRDefault="00612015" w:rsidP="00612015">
      <w:pPr>
        <w:ind w:firstLine="720"/>
        <w:rPr>
          <w:color w:val="000000" w:themeColor="text1"/>
        </w:rPr>
      </w:pPr>
      <w:r w:rsidRPr="007E3321">
        <w:rPr>
          <w:b/>
          <w:bCs/>
          <w:color w:val="000000" w:themeColor="text1"/>
        </w:rPr>
        <w:t>Sad Music and Executive Control.</w:t>
      </w:r>
      <w:r w:rsidRPr="007E3321">
        <w:rPr>
          <w:color w:val="000000" w:themeColor="text1"/>
        </w:rPr>
        <w:t xml:space="preserve"> Six participants had low education and 14 had high education; 11 participants were middle-aged and 9 participants older-aged</w:t>
      </w:r>
      <w:r w:rsidR="001426E6" w:rsidRPr="007E3321">
        <w:rPr>
          <w:color w:val="000000" w:themeColor="text1"/>
        </w:rPr>
        <w:t>; 3 participants were male and 17 were female</w:t>
      </w:r>
      <w:r w:rsidRPr="007E3321">
        <w:rPr>
          <w:color w:val="000000" w:themeColor="text1"/>
        </w:rPr>
        <w:t xml:space="preserve">. </w:t>
      </w:r>
      <w:r w:rsidR="00A41AF5">
        <w:rPr>
          <w:color w:val="000000" w:themeColor="text1"/>
        </w:rPr>
        <w:t>Attention across t</w:t>
      </w:r>
      <w:r w:rsidRPr="007E3321">
        <w:rPr>
          <w:color w:val="000000" w:themeColor="text1"/>
        </w:rPr>
        <w:t>ime did not interact with education (F(1,18)=0.</w:t>
      </w:r>
      <w:r w:rsidR="00EF01FD">
        <w:rPr>
          <w:color w:val="000000" w:themeColor="text1"/>
        </w:rPr>
        <w:t>004</w:t>
      </w:r>
      <w:r w:rsidRPr="007E3321">
        <w:rPr>
          <w:color w:val="000000" w:themeColor="text1"/>
        </w:rPr>
        <w:t xml:space="preserve">, </w:t>
      </w:r>
      <w:r w:rsidRPr="007E3321">
        <w:rPr>
          <w:i/>
          <w:iCs/>
          <w:color w:val="000000" w:themeColor="text1"/>
        </w:rPr>
        <w:t>p=</w:t>
      </w:r>
      <w:r w:rsidRPr="007E3321">
        <w:rPr>
          <w:color w:val="000000" w:themeColor="text1"/>
        </w:rPr>
        <w:t>.</w:t>
      </w:r>
      <w:r w:rsidR="00EF01FD">
        <w:rPr>
          <w:color w:val="000000" w:themeColor="text1"/>
        </w:rPr>
        <w:t>95</w:t>
      </w:r>
      <w:r w:rsidRPr="007E3321">
        <w:rPr>
          <w:color w:val="000000" w:themeColor="text1"/>
        </w:rPr>
        <w:t>)</w:t>
      </w:r>
      <w:r w:rsidR="001426E6" w:rsidRPr="007E3321">
        <w:rPr>
          <w:color w:val="000000" w:themeColor="text1"/>
        </w:rPr>
        <w:t>,</w:t>
      </w:r>
      <w:r w:rsidRPr="007E3321">
        <w:rPr>
          <w:color w:val="000000" w:themeColor="text1"/>
        </w:rPr>
        <w:t xml:space="preserve"> age (F(1,18)=</w:t>
      </w:r>
      <w:r w:rsidR="00EF01FD">
        <w:rPr>
          <w:color w:val="000000" w:themeColor="text1"/>
        </w:rPr>
        <w:t>1.20</w:t>
      </w:r>
      <w:r w:rsidRPr="007E3321">
        <w:rPr>
          <w:color w:val="000000" w:themeColor="text1"/>
        </w:rPr>
        <w:t xml:space="preserve">, </w:t>
      </w:r>
      <w:r w:rsidRPr="007E3321">
        <w:rPr>
          <w:i/>
          <w:iCs/>
          <w:color w:val="000000" w:themeColor="text1"/>
        </w:rPr>
        <w:t>p=</w:t>
      </w:r>
      <w:r w:rsidRPr="007E3321">
        <w:rPr>
          <w:color w:val="000000" w:themeColor="text1"/>
        </w:rPr>
        <w:t>.</w:t>
      </w:r>
      <w:r w:rsidR="00EF01FD">
        <w:rPr>
          <w:color w:val="000000" w:themeColor="text1"/>
        </w:rPr>
        <w:t>29</w:t>
      </w:r>
      <w:r w:rsidRPr="007E3321">
        <w:rPr>
          <w:color w:val="000000" w:themeColor="text1"/>
        </w:rPr>
        <w:t>)</w:t>
      </w:r>
      <w:r w:rsidR="001426E6" w:rsidRPr="007E3321">
        <w:rPr>
          <w:color w:val="000000" w:themeColor="text1"/>
        </w:rPr>
        <w:t>, or</w:t>
      </w:r>
      <w:r w:rsidR="007E3321">
        <w:rPr>
          <w:color w:val="000000" w:themeColor="text1"/>
        </w:rPr>
        <w:t xml:space="preserve"> gender</w:t>
      </w:r>
      <w:r w:rsidR="001426E6" w:rsidRPr="007E3321">
        <w:rPr>
          <w:color w:val="000000" w:themeColor="text1"/>
        </w:rPr>
        <w:t xml:space="preserve"> (F(1,18)=</w:t>
      </w:r>
      <w:r w:rsidR="007E3321" w:rsidRPr="007E3321">
        <w:rPr>
          <w:color w:val="000000" w:themeColor="text1"/>
        </w:rPr>
        <w:t>0.</w:t>
      </w:r>
      <w:r w:rsidR="00EF01FD">
        <w:rPr>
          <w:color w:val="000000" w:themeColor="text1"/>
        </w:rPr>
        <w:t>002</w:t>
      </w:r>
      <w:r w:rsidR="001426E6" w:rsidRPr="007E3321">
        <w:rPr>
          <w:color w:val="000000" w:themeColor="text1"/>
        </w:rPr>
        <w:t xml:space="preserve">, </w:t>
      </w:r>
      <w:r w:rsidR="001426E6" w:rsidRPr="007E3321">
        <w:rPr>
          <w:i/>
          <w:iCs/>
          <w:color w:val="000000" w:themeColor="text1"/>
        </w:rPr>
        <w:t>p=</w:t>
      </w:r>
      <w:r w:rsidR="001426E6" w:rsidRPr="007E3321">
        <w:rPr>
          <w:color w:val="000000" w:themeColor="text1"/>
        </w:rPr>
        <w:t>.</w:t>
      </w:r>
      <w:r w:rsidR="00EF01FD">
        <w:rPr>
          <w:color w:val="000000" w:themeColor="text1"/>
        </w:rPr>
        <w:t>97</w:t>
      </w:r>
      <w:r w:rsidR="001426E6" w:rsidRPr="007E3321">
        <w:rPr>
          <w:color w:val="000000" w:themeColor="text1"/>
        </w:rPr>
        <w:t>)</w:t>
      </w:r>
      <w:r w:rsidRPr="007E3321">
        <w:rPr>
          <w:color w:val="000000" w:themeColor="text1"/>
        </w:rPr>
        <w:t>.</w:t>
      </w:r>
    </w:p>
    <w:p w14:paraId="3A86607E" w14:textId="15676D71" w:rsidR="001426E6" w:rsidRPr="007E3321" w:rsidRDefault="001426E6">
      <w:pPr>
        <w:rPr>
          <w:color w:val="000000" w:themeColor="text1"/>
        </w:rPr>
      </w:pPr>
    </w:p>
    <w:sectPr w:rsidR="001426E6" w:rsidRPr="007E3321" w:rsidSect="009720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59F" w14:textId="77777777" w:rsidR="00D96CD7" w:rsidRDefault="00D96CD7">
      <w:r>
        <w:separator/>
      </w:r>
    </w:p>
  </w:endnote>
  <w:endnote w:type="continuationSeparator" w:id="0">
    <w:p w14:paraId="5CDF94E4" w14:textId="77777777" w:rsidR="00D96CD7" w:rsidRDefault="00D9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64088"/>
      <w:docPartObj>
        <w:docPartGallery w:val="Page Numbers (Bottom of Page)"/>
        <w:docPartUnique/>
      </w:docPartObj>
    </w:sdtPr>
    <w:sdtContent>
      <w:p w14:paraId="43FB53C0" w14:textId="77777777" w:rsidR="00A303DB" w:rsidRDefault="00000000" w:rsidP="00B116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C8CCD0" w14:textId="77777777" w:rsidR="00A303DB" w:rsidRDefault="00000000" w:rsidP="00B11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3907690"/>
      <w:docPartObj>
        <w:docPartGallery w:val="Page Numbers (Bottom of Page)"/>
        <w:docPartUnique/>
      </w:docPartObj>
    </w:sdtPr>
    <w:sdtContent>
      <w:p w14:paraId="3F93495C" w14:textId="77777777" w:rsidR="00A303DB" w:rsidRDefault="00000000" w:rsidP="00310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721562" w14:textId="77777777" w:rsidR="00A303DB" w:rsidRDefault="00000000" w:rsidP="00B116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1183679"/>
      <w:docPartObj>
        <w:docPartGallery w:val="Page Numbers (Bottom of Page)"/>
        <w:docPartUnique/>
      </w:docPartObj>
    </w:sdtPr>
    <w:sdtContent>
      <w:p w14:paraId="5494303F" w14:textId="77777777" w:rsidR="00A303DB" w:rsidRDefault="00000000" w:rsidP="00310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540BB315" w14:textId="77777777" w:rsidR="00A303DB" w:rsidRDefault="00000000" w:rsidP="00F72F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A841" w14:textId="77777777" w:rsidR="00D96CD7" w:rsidRDefault="00D96CD7">
      <w:r>
        <w:separator/>
      </w:r>
    </w:p>
  </w:footnote>
  <w:footnote w:type="continuationSeparator" w:id="0">
    <w:p w14:paraId="63B6F8E1" w14:textId="77777777" w:rsidR="00D96CD7" w:rsidRDefault="00D9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6253387"/>
      <w:docPartObj>
        <w:docPartGallery w:val="Page Numbers (Top of Page)"/>
        <w:docPartUnique/>
      </w:docPartObj>
    </w:sdtPr>
    <w:sdtContent>
      <w:p w14:paraId="6C0DE57E" w14:textId="77777777" w:rsidR="00A303DB" w:rsidRDefault="00000000" w:rsidP="003454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29F0E2" w14:textId="77777777" w:rsidR="00A303DB" w:rsidRDefault="00000000" w:rsidP="003A26A5">
    <w:pPr>
      <w:pStyle w:val="Header"/>
      <w:ind w:right="360"/>
    </w:pPr>
  </w:p>
  <w:p w14:paraId="200AED56" w14:textId="77777777" w:rsidR="00A303DB"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3E18" w14:textId="77777777" w:rsidR="00A303DB" w:rsidRDefault="00000000" w:rsidP="003A26A5">
    <w:pPr>
      <w:pStyle w:val="Header"/>
      <w:ind w:right="360"/>
    </w:pPr>
  </w:p>
  <w:p w14:paraId="4EF803CC" w14:textId="77777777" w:rsidR="00A303DB"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BE"/>
    <w:rsid w:val="00107C54"/>
    <w:rsid w:val="001426E6"/>
    <w:rsid w:val="00150C11"/>
    <w:rsid w:val="001F57C1"/>
    <w:rsid w:val="00266CA0"/>
    <w:rsid w:val="0031295A"/>
    <w:rsid w:val="00547AA2"/>
    <w:rsid w:val="00612015"/>
    <w:rsid w:val="0065438C"/>
    <w:rsid w:val="006975BE"/>
    <w:rsid w:val="00780DA3"/>
    <w:rsid w:val="007E3321"/>
    <w:rsid w:val="0088202E"/>
    <w:rsid w:val="00972055"/>
    <w:rsid w:val="00A41AF5"/>
    <w:rsid w:val="00A64D54"/>
    <w:rsid w:val="00A80492"/>
    <w:rsid w:val="00CA1657"/>
    <w:rsid w:val="00D96CD7"/>
    <w:rsid w:val="00E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3A0E2"/>
  <w15:chartTrackingRefBased/>
  <w15:docId w15:val="{3D2CBFBA-6766-5244-994E-EC4A42F7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BE"/>
    <w:rPr>
      <w:rFonts w:eastAsia="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5BE"/>
    <w:pPr>
      <w:tabs>
        <w:tab w:val="center" w:pos="4680"/>
        <w:tab w:val="right" w:pos="9360"/>
      </w:tabs>
    </w:pPr>
  </w:style>
  <w:style w:type="character" w:customStyle="1" w:styleId="HeaderChar">
    <w:name w:val="Header Char"/>
    <w:basedOn w:val="DefaultParagraphFont"/>
    <w:link w:val="Header"/>
    <w:uiPriority w:val="99"/>
    <w:rsid w:val="006975BE"/>
    <w:rPr>
      <w:rFonts w:eastAsia="Times New Roman" w:cs="Times New Roman"/>
      <w:lang w:eastAsia="zh-CN"/>
    </w:rPr>
  </w:style>
  <w:style w:type="paragraph" w:styleId="Footer">
    <w:name w:val="footer"/>
    <w:basedOn w:val="Normal"/>
    <w:link w:val="FooterChar"/>
    <w:uiPriority w:val="99"/>
    <w:unhideWhenUsed/>
    <w:rsid w:val="006975BE"/>
    <w:pPr>
      <w:tabs>
        <w:tab w:val="center" w:pos="4680"/>
        <w:tab w:val="right" w:pos="9360"/>
      </w:tabs>
    </w:pPr>
  </w:style>
  <w:style w:type="character" w:customStyle="1" w:styleId="FooterChar">
    <w:name w:val="Footer Char"/>
    <w:basedOn w:val="DefaultParagraphFont"/>
    <w:link w:val="Footer"/>
    <w:uiPriority w:val="99"/>
    <w:rsid w:val="006975BE"/>
    <w:rPr>
      <w:rFonts w:eastAsia="Times New Roman" w:cs="Times New Roman"/>
      <w:lang w:eastAsia="zh-CN"/>
    </w:rPr>
  </w:style>
  <w:style w:type="character" w:styleId="PageNumber">
    <w:name w:val="page number"/>
    <w:basedOn w:val="DefaultParagraphFont"/>
    <w:uiPriority w:val="99"/>
    <w:semiHidden/>
    <w:unhideWhenUsed/>
    <w:rsid w:val="006975BE"/>
  </w:style>
  <w:style w:type="character" w:styleId="LineNumber">
    <w:name w:val="line number"/>
    <w:basedOn w:val="DefaultParagraphFont"/>
    <w:uiPriority w:val="99"/>
    <w:semiHidden/>
    <w:unhideWhenUsed/>
    <w:rsid w:val="006975BE"/>
  </w:style>
  <w:style w:type="character" w:styleId="CommentReference">
    <w:name w:val="annotation reference"/>
    <w:basedOn w:val="DefaultParagraphFont"/>
    <w:uiPriority w:val="99"/>
    <w:semiHidden/>
    <w:unhideWhenUsed/>
    <w:rsid w:val="006975BE"/>
    <w:rPr>
      <w:sz w:val="16"/>
      <w:szCs w:val="16"/>
    </w:rPr>
  </w:style>
  <w:style w:type="paragraph" w:styleId="CommentText">
    <w:name w:val="annotation text"/>
    <w:basedOn w:val="Normal"/>
    <w:link w:val="CommentTextChar"/>
    <w:uiPriority w:val="99"/>
    <w:unhideWhenUsed/>
    <w:rsid w:val="006975BE"/>
    <w:rPr>
      <w:sz w:val="20"/>
      <w:szCs w:val="20"/>
    </w:rPr>
  </w:style>
  <w:style w:type="character" w:customStyle="1" w:styleId="CommentTextChar">
    <w:name w:val="Comment Text Char"/>
    <w:basedOn w:val="DefaultParagraphFont"/>
    <w:link w:val="CommentText"/>
    <w:uiPriority w:val="99"/>
    <w:rsid w:val="006975BE"/>
    <w:rPr>
      <w:rFonts w:eastAsia="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LaCroix</dc:creator>
  <cp:keywords/>
  <dc:description/>
  <cp:lastModifiedBy>Arianna LaCroix</cp:lastModifiedBy>
  <cp:revision>11</cp:revision>
  <dcterms:created xsi:type="dcterms:W3CDTF">2022-12-06T18:57:00Z</dcterms:created>
  <dcterms:modified xsi:type="dcterms:W3CDTF">2022-12-19T14:47:00Z</dcterms:modified>
</cp:coreProperties>
</file>