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BABAD" w14:textId="77777777" w:rsidR="00533DC6" w:rsidRPr="00576FB4" w:rsidRDefault="00533DC6" w:rsidP="00533DC6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76FB4"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 w:rsidRPr="00576FB4">
        <w:rPr>
          <w:rFonts w:ascii="Times New Roman" w:hAnsi="Times New Roman" w:cs="Times New Roman"/>
          <w:b/>
          <w:bCs/>
          <w:sz w:val="24"/>
          <w:szCs w:val="24"/>
        </w:rPr>
        <w:t>upplement file 1</w:t>
      </w:r>
      <w:r w:rsidRPr="00576FB4">
        <w:rPr>
          <w:rFonts w:ascii="Times New Roman" w:hAnsi="Times New Roman" w:cs="Times New Roman"/>
          <w:sz w:val="24"/>
          <w:szCs w:val="24"/>
        </w:rPr>
        <w:t xml:space="preserve"> Analysis </w:t>
      </w:r>
      <w:r w:rsidRPr="00576FB4">
        <w:rPr>
          <w:rFonts w:ascii="Times New Roman" w:hAnsi="Times New Roman" w:cs="Times New Roman" w:hint="eastAsia"/>
          <w:sz w:val="24"/>
          <w:szCs w:val="24"/>
        </w:rPr>
        <w:t>of</w:t>
      </w:r>
      <w:r w:rsidRPr="00576FB4">
        <w:rPr>
          <w:rFonts w:ascii="Times New Roman" w:hAnsi="Times New Roman" w:cs="Times New Roman"/>
          <w:sz w:val="24"/>
          <w:szCs w:val="24"/>
        </w:rPr>
        <w:t xml:space="preserve"> top journals and their citations</w:t>
      </w:r>
    </w:p>
    <w:tbl>
      <w:tblPr>
        <w:tblpPr w:leftFromText="180" w:rightFromText="180" w:vertAnchor="text" w:horzAnchor="margin" w:tblpXSpec="center" w:tblpY="416"/>
        <w:tblW w:w="9781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231"/>
        <w:gridCol w:w="847"/>
        <w:gridCol w:w="850"/>
        <w:gridCol w:w="284"/>
        <w:gridCol w:w="1276"/>
        <w:gridCol w:w="850"/>
        <w:gridCol w:w="851"/>
        <w:gridCol w:w="236"/>
        <w:gridCol w:w="1181"/>
        <w:gridCol w:w="851"/>
        <w:gridCol w:w="850"/>
      </w:tblGrid>
      <w:tr w:rsidR="00533DC6" w:rsidRPr="00366FAA" w14:paraId="2E8228CA" w14:textId="77777777" w:rsidTr="007A1725">
        <w:trPr>
          <w:trHeight w:val="277"/>
        </w:trPr>
        <w:tc>
          <w:tcPr>
            <w:tcW w:w="474" w:type="dxa"/>
            <w:vMerge w:val="restart"/>
            <w:tcBorders>
              <w:bottom w:val="single" w:sz="4" w:space="0" w:color="auto"/>
            </w:tcBorders>
            <w:vAlign w:val="center"/>
          </w:tcPr>
          <w:p w14:paraId="6FA5FE1C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Rank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27873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Top productive journals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3AC6B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1A5A23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Top cited journals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00E5AF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E780C72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Top average citations</w:t>
            </w:r>
          </w:p>
        </w:tc>
      </w:tr>
      <w:tr w:rsidR="00533DC6" w:rsidRPr="00366FAA" w14:paraId="7A2F221E" w14:textId="77777777" w:rsidTr="007A1725">
        <w:trPr>
          <w:trHeight w:val="416"/>
        </w:trPr>
        <w:tc>
          <w:tcPr>
            <w:tcW w:w="474" w:type="dxa"/>
            <w:vMerge/>
            <w:tcBorders>
              <w:bottom w:val="single" w:sz="4" w:space="0" w:color="auto"/>
            </w:tcBorders>
            <w:vAlign w:val="center"/>
          </w:tcPr>
          <w:p w14:paraId="526389C6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A95A34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Journals (IF&amp;Q)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65E99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Total number</w:t>
            </w:r>
          </w:p>
          <w:p w14:paraId="3C97E807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(n)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AD2338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Percentage (%)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CEA8B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92EB01D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Journals</w:t>
            </w:r>
          </w:p>
          <w:p w14:paraId="5F27054D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(IF&amp;Q)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340B9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Total number</w:t>
            </w:r>
          </w:p>
          <w:p w14:paraId="52D6ECAC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(n)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258E1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Total Citations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873C5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25E4A13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Journals</w:t>
            </w:r>
          </w:p>
          <w:p w14:paraId="164C77F9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(IF&amp;Q)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3405C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Total number</w:t>
            </w:r>
          </w:p>
          <w:p w14:paraId="27E8C60A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(n)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24573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5"/>
                <w:szCs w:val="15"/>
              </w:rPr>
              <w:t>Average times</w:t>
            </w:r>
          </w:p>
        </w:tc>
      </w:tr>
      <w:tr w:rsidR="00533DC6" w:rsidRPr="00366FAA" w14:paraId="5C99FED6" w14:textId="77777777" w:rsidTr="007A1725">
        <w:trPr>
          <w:trHeight w:val="312"/>
        </w:trPr>
        <w:tc>
          <w:tcPr>
            <w:tcW w:w="474" w:type="dxa"/>
            <w:tcBorders>
              <w:top w:val="single" w:sz="4" w:space="0" w:color="auto"/>
            </w:tcBorders>
            <w:vAlign w:val="center"/>
          </w:tcPr>
          <w:p w14:paraId="7D3CD4D4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1BDB3A4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Gynecological Endocrinology (2.</w:t>
            </w:r>
            <w:r w:rsidRPr="00366FAA">
              <w:rPr>
                <w:rFonts w:ascii="Times New Roman" w:eastAsia="等线" w:hAnsi="Times New Roman" w:cs="Times New Roman"/>
                <w:color w:val="000000" w:themeColor="text1"/>
                <w:sz w:val="15"/>
                <w:szCs w:val="15"/>
              </w:rPr>
              <w:t>2, Q3)</w:t>
            </w: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5A16057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AF9A134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5.4%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5AA192F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995235A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 w:themeColor="text1"/>
                <w:sz w:val="15"/>
                <w:szCs w:val="15"/>
              </w:rPr>
              <w:t>The Journal of Clinical Endocrinology &amp; Metabolism</w:t>
            </w:r>
          </w:p>
          <w:p w14:paraId="0979F02B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 w:themeColor="text1"/>
                <w:sz w:val="15"/>
                <w:szCs w:val="15"/>
              </w:rPr>
              <w:t>(6.1, Q1)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5FF4524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D0C2D4D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4100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732B7CA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14:paraId="1FC1B1E7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Endocrine Reviews</w:t>
            </w:r>
          </w:p>
          <w:p w14:paraId="64D2A583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(25.2, Q1)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0246E15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09FC6CA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298.1</w:t>
            </w:r>
          </w:p>
        </w:tc>
      </w:tr>
      <w:tr w:rsidR="00533DC6" w:rsidRPr="00366FAA" w14:paraId="2D9E2F81" w14:textId="77777777" w:rsidTr="007A1725">
        <w:trPr>
          <w:trHeight w:val="312"/>
        </w:trPr>
        <w:tc>
          <w:tcPr>
            <w:tcW w:w="474" w:type="dxa"/>
            <w:vAlign w:val="center"/>
          </w:tcPr>
          <w:p w14:paraId="1AD23C94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14:paraId="0E6AC7D8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FF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 w:themeColor="text1"/>
                <w:sz w:val="15"/>
                <w:szCs w:val="15"/>
              </w:rPr>
              <w:t>The Journal of Clinical Endocrinology &amp; Metabolism</w:t>
            </w:r>
          </w:p>
          <w:p w14:paraId="31816749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(6.1, Q1)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4C642FBD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8845CB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3.5%</w:t>
            </w:r>
          </w:p>
        </w:tc>
        <w:tc>
          <w:tcPr>
            <w:tcW w:w="284" w:type="dxa"/>
          </w:tcPr>
          <w:p w14:paraId="18EA5850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714AA730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Human Reproduction</w:t>
            </w:r>
          </w:p>
          <w:p w14:paraId="57FCCA22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(6.3, Q1)</w:t>
            </w:r>
          </w:p>
        </w:tc>
        <w:tc>
          <w:tcPr>
            <w:tcW w:w="850" w:type="dxa"/>
            <w:vAlign w:val="center"/>
          </w:tcPr>
          <w:p w14:paraId="17E35132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AEB2A6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2808</w:t>
            </w:r>
          </w:p>
        </w:tc>
        <w:tc>
          <w:tcPr>
            <w:tcW w:w="236" w:type="dxa"/>
          </w:tcPr>
          <w:p w14:paraId="770848B8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181" w:type="dxa"/>
            <w:vAlign w:val="center"/>
          </w:tcPr>
          <w:p w14:paraId="13DAA073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Nature Reviews Endocrinology</w:t>
            </w:r>
          </w:p>
          <w:p w14:paraId="454A1AF1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(47.5, Q1)</w:t>
            </w:r>
          </w:p>
        </w:tc>
        <w:tc>
          <w:tcPr>
            <w:tcW w:w="851" w:type="dxa"/>
            <w:vAlign w:val="center"/>
          </w:tcPr>
          <w:p w14:paraId="46F86E1C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850" w:type="dxa"/>
            <w:vAlign w:val="center"/>
          </w:tcPr>
          <w:p w14:paraId="43A50ADA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150.5</w:t>
            </w:r>
          </w:p>
        </w:tc>
      </w:tr>
      <w:tr w:rsidR="00533DC6" w:rsidRPr="00366FAA" w14:paraId="357D5BB7" w14:textId="77777777" w:rsidTr="007A1725">
        <w:trPr>
          <w:trHeight w:val="312"/>
        </w:trPr>
        <w:tc>
          <w:tcPr>
            <w:tcW w:w="474" w:type="dxa"/>
            <w:vAlign w:val="center"/>
          </w:tcPr>
          <w:p w14:paraId="28912754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14:paraId="639E9595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Human Reproduction</w:t>
            </w:r>
          </w:p>
          <w:p w14:paraId="55DD6DB0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(6.3, Q1)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2AC5DCBE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B23CC5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2.7%</w:t>
            </w:r>
          </w:p>
        </w:tc>
        <w:tc>
          <w:tcPr>
            <w:tcW w:w="284" w:type="dxa"/>
          </w:tcPr>
          <w:p w14:paraId="67D1F993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7D607C74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Human Reproduction Update</w:t>
            </w:r>
          </w:p>
          <w:p w14:paraId="7993583C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(17.1, Q1)</w:t>
            </w:r>
          </w:p>
        </w:tc>
        <w:tc>
          <w:tcPr>
            <w:tcW w:w="850" w:type="dxa"/>
            <w:vAlign w:val="center"/>
          </w:tcPr>
          <w:p w14:paraId="24ACFDCB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91224D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2443</w:t>
            </w:r>
          </w:p>
        </w:tc>
        <w:tc>
          <w:tcPr>
            <w:tcW w:w="236" w:type="dxa"/>
          </w:tcPr>
          <w:p w14:paraId="29DD9760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181" w:type="dxa"/>
            <w:vAlign w:val="center"/>
          </w:tcPr>
          <w:p w14:paraId="35050894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Human Reproduction Update</w:t>
            </w:r>
          </w:p>
          <w:p w14:paraId="1D26F347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(17.1, Q1)</w:t>
            </w:r>
          </w:p>
        </w:tc>
        <w:tc>
          <w:tcPr>
            <w:tcW w:w="851" w:type="dxa"/>
            <w:vAlign w:val="center"/>
          </w:tcPr>
          <w:p w14:paraId="7A4FB8A4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23</w:t>
            </w:r>
          </w:p>
        </w:tc>
        <w:tc>
          <w:tcPr>
            <w:tcW w:w="850" w:type="dxa"/>
            <w:vAlign w:val="center"/>
          </w:tcPr>
          <w:p w14:paraId="5F6B6137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106.2</w:t>
            </w:r>
          </w:p>
        </w:tc>
      </w:tr>
      <w:tr w:rsidR="00533DC6" w:rsidRPr="00366FAA" w14:paraId="6D157323" w14:textId="77777777" w:rsidTr="007A1725">
        <w:trPr>
          <w:trHeight w:val="312"/>
        </w:trPr>
        <w:tc>
          <w:tcPr>
            <w:tcW w:w="474" w:type="dxa"/>
            <w:vAlign w:val="center"/>
          </w:tcPr>
          <w:p w14:paraId="25344211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14:paraId="60D73DB2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Fertility and Sterility</w:t>
            </w:r>
          </w:p>
          <w:p w14:paraId="3C66C65B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(7.4, Q1)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4DD47217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29BECF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2.4%</w:t>
            </w:r>
          </w:p>
        </w:tc>
        <w:tc>
          <w:tcPr>
            <w:tcW w:w="284" w:type="dxa"/>
          </w:tcPr>
          <w:p w14:paraId="5E89FEF6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6F07158E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Fertility and Sterility</w:t>
            </w:r>
          </w:p>
          <w:p w14:paraId="7DD2E1E4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(7.4, Q1)</w:t>
            </w:r>
          </w:p>
        </w:tc>
        <w:tc>
          <w:tcPr>
            <w:tcW w:w="850" w:type="dxa"/>
            <w:vAlign w:val="center"/>
          </w:tcPr>
          <w:p w14:paraId="1E30EB08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B5477B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2332</w:t>
            </w:r>
          </w:p>
        </w:tc>
        <w:tc>
          <w:tcPr>
            <w:tcW w:w="236" w:type="dxa"/>
          </w:tcPr>
          <w:p w14:paraId="26840EA7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181" w:type="dxa"/>
            <w:vAlign w:val="center"/>
          </w:tcPr>
          <w:p w14:paraId="3332F5C2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BMC Medicine</w:t>
            </w:r>
          </w:p>
          <w:p w14:paraId="450AEC31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(11.1, Q1)</w:t>
            </w:r>
          </w:p>
        </w:tc>
        <w:tc>
          <w:tcPr>
            <w:tcW w:w="851" w:type="dxa"/>
            <w:vAlign w:val="center"/>
          </w:tcPr>
          <w:p w14:paraId="4F13F009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850" w:type="dxa"/>
            <w:vAlign w:val="center"/>
          </w:tcPr>
          <w:p w14:paraId="4AEC7A1C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95.2</w:t>
            </w:r>
          </w:p>
        </w:tc>
      </w:tr>
      <w:tr w:rsidR="00533DC6" w:rsidRPr="00366FAA" w14:paraId="3B73C19B" w14:textId="77777777" w:rsidTr="007A1725">
        <w:trPr>
          <w:trHeight w:val="312"/>
        </w:trPr>
        <w:tc>
          <w:tcPr>
            <w:tcW w:w="474" w:type="dxa"/>
            <w:vAlign w:val="center"/>
          </w:tcPr>
          <w:p w14:paraId="6AEF064A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14:paraId="6ED13965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Frontiers in Endocrinology</w:t>
            </w:r>
          </w:p>
          <w:p w14:paraId="6B93C2E9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(6.0, Q1)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1EA96227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272F3C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2.4%</w:t>
            </w:r>
          </w:p>
        </w:tc>
        <w:tc>
          <w:tcPr>
            <w:tcW w:w="284" w:type="dxa"/>
          </w:tcPr>
          <w:p w14:paraId="714BEC0F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08ABDE6F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15"/>
                <w:szCs w:val="15"/>
              </w:rPr>
            </w:pPr>
            <w:proofErr w:type="spellStart"/>
            <w:r w:rsidRPr="00366FAA">
              <w:rPr>
                <w:rFonts w:ascii="Times New Roman" w:eastAsia="等线" w:hAnsi="Times New Roman" w:cs="Times New Roman"/>
                <w:color w:val="000000" w:themeColor="text1"/>
                <w:sz w:val="15"/>
                <w:szCs w:val="15"/>
              </w:rPr>
              <w:t>PloS</w:t>
            </w:r>
            <w:proofErr w:type="spellEnd"/>
            <w:r w:rsidRPr="00366FAA">
              <w:rPr>
                <w:rFonts w:ascii="Times New Roman" w:eastAsia="等线" w:hAnsi="Times New Roman" w:cs="Times New Roman"/>
                <w:color w:val="000000" w:themeColor="text1"/>
                <w:sz w:val="15"/>
                <w:szCs w:val="15"/>
              </w:rPr>
              <w:t xml:space="preserve"> One</w:t>
            </w:r>
          </w:p>
          <w:p w14:paraId="4480F9DA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 w:themeColor="text1"/>
                <w:sz w:val="15"/>
                <w:szCs w:val="15"/>
              </w:rPr>
              <w:t>(3.7, Q2)</w:t>
            </w:r>
          </w:p>
        </w:tc>
        <w:tc>
          <w:tcPr>
            <w:tcW w:w="850" w:type="dxa"/>
            <w:vAlign w:val="center"/>
          </w:tcPr>
          <w:p w14:paraId="22FDFC82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CCD8AD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2076</w:t>
            </w:r>
          </w:p>
        </w:tc>
        <w:tc>
          <w:tcPr>
            <w:tcW w:w="236" w:type="dxa"/>
          </w:tcPr>
          <w:p w14:paraId="41A12955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181" w:type="dxa"/>
            <w:vAlign w:val="center"/>
          </w:tcPr>
          <w:p w14:paraId="5EBB7C77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Endocrinology and Metabolism Clinics of North America</w:t>
            </w:r>
          </w:p>
          <w:p w14:paraId="59A2D239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(4.7, Q2)</w:t>
            </w:r>
          </w:p>
        </w:tc>
        <w:tc>
          <w:tcPr>
            <w:tcW w:w="851" w:type="dxa"/>
            <w:vAlign w:val="center"/>
          </w:tcPr>
          <w:p w14:paraId="5667AB40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</w:t>
            </w:r>
          </w:p>
        </w:tc>
        <w:tc>
          <w:tcPr>
            <w:tcW w:w="850" w:type="dxa"/>
            <w:vAlign w:val="center"/>
          </w:tcPr>
          <w:p w14:paraId="62218838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78.4</w:t>
            </w:r>
          </w:p>
        </w:tc>
      </w:tr>
      <w:tr w:rsidR="00533DC6" w:rsidRPr="00366FAA" w14:paraId="44DD4381" w14:textId="77777777" w:rsidTr="007A1725">
        <w:trPr>
          <w:trHeight w:val="312"/>
        </w:trPr>
        <w:tc>
          <w:tcPr>
            <w:tcW w:w="474" w:type="dxa"/>
            <w:vAlign w:val="center"/>
          </w:tcPr>
          <w:p w14:paraId="62D73B69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14:paraId="760F1EC2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Clinical Endocrinology</w:t>
            </w:r>
          </w:p>
          <w:p w14:paraId="3D1BDCBB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(3.5, Q3)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70EFCD45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A2BA04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2.3%</w:t>
            </w:r>
          </w:p>
        </w:tc>
        <w:tc>
          <w:tcPr>
            <w:tcW w:w="284" w:type="dxa"/>
          </w:tcPr>
          <w:p w14:paraId="0FC6FF4D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603CEA43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Gynecological Endocrinology (2.</w:t>
            </w:r>
            <w:r w:rsidRPr="00366FAA">
              <w:rPr>
                <w:rFonts w:ascii="Times New Roman" w:eastAsia="等线" w:hAnsi="Times New Roman" w:cs="Times New Roman"/>
                <w:color w:val="000000" w:themeColor="text1"/>
                <w:sz w:val="15"/>
                <w:szCs w:val="15"/>
              </w:rPr>
              <w:t>2, Q3)</w:t>
            </w:r>
          </w:p>
        </w:tc>
        <w:tc>
          <w:tcPr>
            <w:tcW w:w="850" w:type="dxa"/>
            <w:vAlign w:val="center"/>
          </w:tcPr>
          <w:p w14:paraId="1BF3FC83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156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2ADDD7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2000</w:t>
            </w:r>
          </w:p>
        </w:tc>
        <w:tc>
          <w:tcPr>
            <w:tcW w:w="236" w:type="dxa"/>
          </w:tcPr>
          <w:p w14:paraId="598D8068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181" w:type="dxa"/>
            <w:vAlign w:val="center"/>
          </w:tcPr>
          <w:p w14:paraId="24840700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Diabetes</w:t>
            </w:r>
          </w:p>
          <w:p w14:paraId="780D5015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(9.3, Q1)</w:t>
            </w:r>
          </w:p>
        </w:tc>
        <w:tc>
          <w:tcPr>
            <w:tcW w:w="851" w:type="dxa"/>
            <w:vAlign w:val="center"/>
          </w:tcPr>
          <w:p w14:paraId="31C6219A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7</w:t>
            </w:r>
          </w:p>
        </w:tc>
        <w:tc>
          <w:tcPr>
            <w:tcW w:w="850" w:type="dxa"/>
            <w:vAlign w:val="center"/>
          </w:tcPr>
          <w:p w14:paraId="1903E10C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60.4</w:t>
            </w:r>
          </w:p>
        </w:tc>
      </w:tr>
      <w:tr w:rsidR="00533DC6" w:rsidRPr="00366FAA" w14:paraId="5C23C4F1" w14:textId="77777777" w:rsidTr="007A1725">
        <w:trPr>
          <w:trHeight w:val="312"/>
        </w:trPr>
        <w:tc>
          <w:tcPr>
            <w:tcW w:w="474" w:type="dxa"/>
            <w:vAlign w:val="center"/>
          </w:tcPr>
          <w:p w14:paraId="777383E7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14:paraId="25981F2B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15"/>
                <w:szCs w:val="15"/>
              </w:rPr>
            </w:pPr>
          </w:p>
          <w:p w14:paraId="57F07DFA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15"/>
                <w:szCs w:val="15"/>
              </w:rPr>
            </w:pPr>
            <w:proofErr w:type="spellStart"/>
            <w:r w:rsidRPr="00366FAA">
              <w:rPr>
                <w:rFonts w:ascii="Times New Roman" w:eastAsia="等线" w:hAnsi="Times New Roman" w:cs="Times New Roman"/>
                <w:color w:val="000000" w:themeColor="text1"/>
                <w:sz w:val="15"/>
                <w:szCs w:val="15"/>
              </w:rPr>
              <w:t>PloS</w:t>
            </w:r>
            <w:proofErr w:type="spellEnd"/>
            <w:r w:rsidRPr="00366FAA">
              <w:rPr>
                <w:rFonts w:ascii="Times New Roman" w:eastAsia="等线" w:hAnsi="Times New Roman" w:cs="Times New Roman"/>
                <w:color w:val="000000" w:themeColor="text1"/>
                <w:sz w:val="15"/>
                <w:szCs w:val="15"/>
              </w:rPr>
              <w:t xml:space="preserve"> One</w:t>
            </w:r>
          </w:p>
          <w:p w14:paraId="401DB2FE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 w:themeColor="text1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 w:themeColor="text1"/>
                <w:sz w:val="15"/>
                <w:szCs w:val="15"/>
              </w:rPr>
              <w:t>(3.7, Q2)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4E688593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D9474C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1.9%</w:t>
            </w:r>
          </w:p>
        </w:tc>
        <w:tc>
          <w:tcPr>
            <w:tcW w:w="284" w:type="dxa"/>
          </w:tcPr>
          <w:p w14:paraId="1C9101DB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020100D5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Endocrine Reviews</w:t>
            </w:r>
          </w:p>
          <w:p w14:paraId="7B89AFC9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(25.2, Q1)</w:t>
            </w:r>
          </w:p>
        </w:tc>
        <w:tc>
          <w:tcPr>
            <w:tcW w:w="850" w:type="dxa"/>
            <w:vAlign w:val="center"/>
          </w:tcPr>
          <w:p w14:paraId="6C29AC01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B88832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1789</w:t>
            </w:r>
          </w:p>
        </w:tc>
        <w:tc>
          <w:tcPr>
            <w:tcW w:w="236" w:type="dxa"/>
          </w:tcPr>
          <w:p w14:paraId="634D93F2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181" w:type="dxa"/>
            <w:vAlign w:val="center"/>
          </w:tcPr>
          <w:p w14:paraId="32318414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Steroids</w:t>
            </w:r>
          </w:p>
          <w:p w14:paraId="30A4D2F3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(2.7, Q4)</w:t>
            </w:r>
          </w:p>
        </w:tc>
        <w:tc>
          <w:tcPr>
            <w:tcW w:w="851" w:type="dxa"/>
            <w:vAlign w:val="center"/>
          </w:tcPr>
          <w:p w14:paraId="3E3D8C65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18</w:t>
            </w:r>
          </w:p>
        </w:tc>
        <w:tc>
          <w:tcPr>
            <w:tcW w:w="850" w:type="dxa"/>
            <w:vAlign w:val="center"/>
          </w:tcPr>
          <w:p w14:paraId="5A3FC98B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51.4</w:t>
            </w:r>
          </w:p>
        </w:tc>
      </w:tr>
      <w:tr w:rsidR="00533DC6" w:rsidRPr="00366FAA" w14:paraId="06603886" w14:textId="77777777" w:rsidTr="007A1725">
        <w:trPr>
          <w:trHeight w:val="312"/>
        </w:trPr>
        <w:tc>
          <w:tcPr>
            <w:tcW w:w="474" w:type="dxa"/>
            <w:vAlign w:val="center"/>
          </w:tcPr>
          <w:p w14:paraId="63473D85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14:paraId="3F100DB4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Nutrients</w:t>
            </w:r>
          </w:p>
          <w:p w14:paraId="65EA8BEE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(6.7, Q1)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7207059F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6F8EA3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1.3%</w:t>
            </w:r>
          </w:p>
        </w:tc>
        <w:tc>
          <w:tcPr>
            <w:tcW w:w="284" w:type="dxa"/>
          </w:tcPr>
          <w:p w14:paraId="5CBFD004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459C0A43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Clinical Endocrinology</w:t>
            </w:r>
          </w:p>
          <w:p w14:paraId="0E4279E5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(3.5, Q3)</w:t>
            </w:r>
          </w:p>
        </w:tc>
        <w:tc>
          <w:tcPr>
            <w:tcW w:w="850" w:type="dxa"/>
            <w:vAlign w:val="center"/>
          </w:tcPr>
          <w:p w14:paraId="274AF998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5606ED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1496</w:t>
            </w:r>
          </w:p>
        </w:tc>
        <w:tc>
          <w:tcPr>
            <w:tcW w:w="236" w:type="dxa"/>
          </w:tcPr>
          <w:p w14:paraId="3954693F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181" w:type="dxa"/>
            <w:vAlign w:val="center"/>
          </w:tcPr>
          <w:p w14:paraId="765663BD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Cochrane Database of Systematic Reviews</w:t>
            </w:r>
          </w:p>
          <w:p w14:paraId="6B3D2FEF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(12.0, Q1)</w:t>
            </w:r>
          </w:p>
        </w:tc>
        <w:tc>
          <w:tcPr>
            <w:tcW w:w="851" w:type="dxa"/>
            <w:vAlign w:val="center"/>
          </w:tcPr>
          <w:p w14:paraId="2564E1C8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6</w:t>
            </w:r>
          </w:p>
        </w:tc>
        <w:tc>
          <w:tcPr>
            <w:tcW w:w="850" w:type="dxa"/>
            <w:vAlign w:val="center"/>
          </w:tcPr>
          <w:p w14:paraId="2A36762C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48.3</w:t>
            </w:r>
          </w:p>
        </w:tc>
      </w:tr>
      <w:tr w:rsidR="00533DC6" w:rsidRPr="00366FAA" w14:paraId="75FB355E" w14:textId="77777777" w:rsidTr="007A1725">
        <w:trPr>
          <w:trHeight w:val="312"/>
        </w:trPr>
        <w:tc>
          <w:tcPr>
            <w:tcW w:w="474" w:type="dxa"/>
            <w:vAlign w:val="center"/>
          </w:tcPr>
          <w:p w14:paraId="34652B8C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231" w:type="dxa"/>
            <w:shd w:val="clear" w:color="auto" w:fill="auto"/>
            <w:vAlign w:val="center"/>
            <w:hideMark/>
          </w:tcPr>
          <w:p w14:paraId="28445C8C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Journal of Endocrinological Investigation</w:t>
            </w:r>
          </w:p>
          <w:p w14:paraId="619F33A9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(5.4, Q2)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14:paraId="338DBB34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538771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1.2%</w:t>
            </w:r>
          </w:p>
        </w:tc>
        <w:tc>
          <w:tcPr>
            <w:tcW w:w="284" w:type="dxa"/>
          </w:tcPr>
          <w:p w14:paraId="227FD3D1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vAlign w:val="center"/>
          </w:tcPr>
          <w:p w14:paraId="1CEDC3A2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European Journal of Endocrinology</w:t>
            </w:r>
          </w:p>
          <w:p w14:paraId="6876D4FF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(6.5, Q1)</w:t>
            </w:r>
          </w:p>
        </w:tc>
        <w:tc>
          <w:tcPr>
            <w:tcW w:w="850" w:type="dxa"/>
            <w:vAlign w:val="center"/>
          </w:tcPr>
          <w:p w14:paraId="31D62EDA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D03079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1146</w:t>
            </w:r>
          </w:p>
        </w:tc>
        <w:tc>
          <w:tcPr>
            <w:tcW w:w="236" w:type="dxa"/>
          </w:tcPr>
          <w:p w14:paraId="4DE04C2D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181" w:type="dxa"/>
            <w:vAlign w:val="center"/>
          </w:tcPr>
          <w:p w14:paraId="30D7395C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Obesity Reviews</w:t>
            </w:r>
          </w:p>
          <w:p w14:paraId="4BC049A6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(10.8, Q1)</w:t>
            </w:r>
          </w:p>
        </w:tc>
        <w:tc>
          <w:tcPr>
            <w:tcW w:w="851" w:type="dxa"/>
            <w:vAlign w:val="center"/>
          </w:tcPr>
          <w:p w14:paraId="2AD64D3B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12</w:t>
            </w:r>
          </w:p>
        </w:tc>
        <w:tc>
          <w:tcPr>
            <w:tcW w:w="850" w:type="dxa"/>
            <w:vAlign w:val="center"/>
          </w:tcPr>
          <w:p w14:paraId="7A5DA7CC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46.2</w:t>
            </w:r>
          </w:p>
        </w:tc>
      </w:tr>
      <w:tr w:rsidR="00533DC6" w:rsidRPr="00366FAA" w14:paraId="0BD324B8" w14:textId="77777777" w:rsidTr="007A1725">
        <w:trPr>
          <w:trHeight w:val="312"/>
        </w:trPr>
        <w:tc>
          <w:tcPr>
            <w:tcW w:w="474" w:type="dxa"/>
            <w:tcBorders>
              <w:bottom w:val="single" w:sz="4" w:space="0" w:color="auto"/>
            </w:tcBorders>
            <w:vAlign w:val="center"/>
          </w:tcPr>
          <w:p w14:paraId="413B4585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lastRenderedPageBreak/>
              <w:t>10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E6C839" w14:textId="77777777" w:rsidR="00533DC6" w:rsidRPr="00366FAA" w:rsidRDefault="00533DC6" w:rsidP="007A1725">
            <w:pPr>
              <w:jc w:val="left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European Journal of Obstetrics &amp; Gynecology and Reproductive Biology</w:t>
            </w:r>
          </w:p>
          <w:p w14:paraId="459C026E" w14:textId="77777777" w:rsidR="00533DC6" w:rsidRPr="00366FAA" w:rsidRDefault="00533DC6" w:rsidP="007A1725">
            <w:pPr>
              <w:jc w:val="left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(2.8, Q3)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1619FE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EFEB8F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1.1%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62C8EF6" w14:textId="77777777" w:rsidR="00533DC6" w:rsidRPr="00366FAA" w:rsidRDefault="00533DC6" w:rsidP="007A1725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6754E2E" w14:textId="77777777" w:rsidR="00533DC6" w:rsidRPr="00366FAA" w:rsidRDefault="00533DC6" w:rsidP="007A1725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Steroids</w:t>
            </w:r>
          </w:p>
          <w:p w14:paraId="4D451A3E" w14:textId="77777777" w:rsidR="00533DC6" w:rsidRPr="00366FAA" w:rsidRDefault="00533DC6" w:rsidP="007A1725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(2.7, Q4)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F0CAD10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583845" w14:textId="77777777" w:rsidR="00533DC6" w:rsidRPr="00366FAA" w:rsidRDefault="00533DC6" w:rsidP="007A172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15"/>
              </w:rPr>
              <w:t>926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77399D7" w14:textId="77777777" w:rsidR="00533DC6" w:rsidRPr="00366FAA" w:rsidRDefault="00533DC6" w:rsidP="007A1725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14:paraId="08E1A0BB" w14:textId="77777777" w:rsidR="00533DC6" w:rsidRPr="00366FAA" w:rsidRDefault="00533DC6" w:rsidP="007A1725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proofErr w:type="spellStart"/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Maturitas</w:t>
            </w:r>
            <w:proofErr w:type="spellEnd"/>
          </w:p>
          <w:p w14:paraId="52DFCE52" w14:textId="77777777" w:rsidR="00533DC6" w:rsidRPr="00366FAA" w:rsidRDefault="00533DC6" w:rsidP="007A1725">
            <w:pPr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 xml:space="preserve">(5.1, Q1) </w:t>
            </w:r>
            <w:r w:rsidRPr="00366FAA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EFAF5F4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CBA8D80" w14:textId="77777777" w:rsidR="00533DC6" w:rsidRPr="00366FAA" w:rsidRDefault="00533DC6" w:rsidP="007A1725">
            <w:pPr>
              <w:jc w:val="center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  <w:r w:rsidRPr="00366FAA"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  <w:t>46.1</w:t>
            </w:r>
          </w:p>
        </w:tc>
      </w:tr>
      <w:tr w:rsidR="00533DC6" w:rsidRPr="00366FAA" w14:paraId="7BC712F2" w14:textId="77777777" w:rsidTr="007A1725">
        <w:trPr>
          <w:trHeight w:val="312"/>
        </w:trPr>
        <w:tc>
          <w:tcPr>
            <w:tcW w:w="9781" w:type="dxa"/>
            <w:gridSpan w:val="12"/>
            <w:tcBorders>
              <w:top w:val="single" w:sz="4" w:space="0" w:color="auto"/>
              <w:bottom w:val="nil"/>
            </w:tcBorders>
          </w:tcPr>
          <w:p w14:paraId="3E3469AE" w14:textId="77777777" w:rsidR="00533DC6" w:rsidRPr="00366FAA" w:rsidRDefault="00533DC6" w:rsidP="007A1725">
            <w:pPr>
              <w:ind w:firstLineChars="25" w:firstLine="38"/>
              <w:jc w:val="left"/>
              <w:rPr>
                <w:rFonts w:ascii="Times New Roman" w:eastAsia="等线" w:hAnsi="Times New Roman" w:cs="Times New Roman"/>
                <w:color w:val="000000"/>
                <w:sz w:val="15"/>
                <w:szCs w:val="15"/>
              </w:rPr>
            </w:pPr>
          </w:p>
        </w:tc>
      </w:tr>
    </w:tbl>
    <w:p w14:paraId="142168EA" w14:textId="77777777" w:rsidR="000F41A4" w:rsidRDefault="000F41A4"/>
    <w:sectPr w:rsidR="000F4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26C48" w14:textId="77777777" w:rsidR="00871BC5" w:rsidRDefault="00871BC5" w:rsidP="00533DC6">
      <w:r>
        <w:separator/>
      </w:r>
    </w:p>
  </w:endnote>
  <w:endnote w:type="continuationSeparator" w:id="0">
    <w:p w14:paraId="0262308F" w14:textId="77777777" w:rsidR="00871BC5" w:rsidRDefault="00871BC5" w:rsidP="0053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A2208" w14:textId="77777777" w:rsidR="00871BC5" w:rsidRDefault="00871BC5" w:rsidP="00533DC6">
      <w:r>
        <w:separator/>
      </w:r>
    </w:p>
  </w:footnote>
  <w:footnote w:type="continuationSeparator" w:id="0">
    <w:p w14:paraId="5F166C44" w14:textId="77777777" w:rsidR="00871BC5" w:rsidRDefault="00871BC5" w:rsidP="00533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wMDc0szCwNDQ0MDFU0lEKTi0uzszPAykwrAUAoObcnywAAAA="/>
  </w:docVars>
  <w:rsids>
    <w:rsidRoot w:val="00C1215D"/>
    <w:rsid w:val="000F41A4"/>
    <w:rsid w:val="00533DC6"/>
    <w:rsid w:val="00871BC5"/>
    <w:rsid w:val="00C1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AD81190-80F2-469F-B6F3-732C754F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D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3D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3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3D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Dr.Henry</dc:creator>
  <cp:keywords/>
  <dc:description/>
  <cp:lastModifiedBy>Dr.Henry</cp:lastModifiedBy>
  <cp:revision>2</cp:revision>
  <dcterms:created xsi:type="dcterms:W3CDTF">2022-08-03T13:32:00Z</dcterms:created>
  <dcterms:modified xsi:type="dcterms:W3CDTF">2022-08-03T13:32:00Z</dcterms:modified>
</cp:coreProperties>
</file>