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7A2C7" w14:textId="4720549B" w:rsidR="00DD60E7" w:rsidRDefault="00287665" w:rsidP="007735B4">
      <w:pPr>
        <w:pStyle w:val="Prrafodelista"/>
        <w:spacing w:beforeLines="80" w:before="192" w:afterLines="80" w:after="192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Supplementary </w:t>
      </w:r>
      <w:r w:rsidR="00DD60E7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igure </w:t>
      </w:r>
      <w:r w:rsidR="003707E8" w:rsidRPr="00287665">
        <w:rPr>
          <w:rFonts w:ascii="Times New Roman" w:hAnsi="Times New Roman"/>
          <w:b/>
          <w:sz w:val="24"/>
          <w:szCs w:val="24"/>
          <w:lang w:val="en-US"/>
        </w:rPr>
        <w:t xml:space="preserve">1. </w:t>
      </w:r>
      <w:r w:rsidR="003707E8" w:rsidRPr="00287665">
        <w:rPr>
          <w:rFonts w:ascii="Times New Roman" w:hAnsi="Times New Roman"/>
          <w:sz w:val="24"/>
          <w:szCs w:val="24"/>
          <w:lang w:val="en-US"/>
        </w:rPr>
        <w:t xml:space="preserve">X-Y dissimilarity matrices generated by experienced (pink boxes, &gt;20 years) and </w:t>
      </w:r>
      <w:r w:rsidR="007D3AE0">
        <w:rPr>
          <w:rFonts w:ascii="Times New Roman" w:hAnsi="Times New Roman"/>
          <w:sz w:val="24"/>
          <w:szCs w:val="24"/>
          <w:lang w:val="en-US"/>
        </w:rPr>
        <w:t>unexperienced</w:t>
      </w:r>
      <w:r w:rsidR="007D3AE0" w:rsidRPr="0028766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707E8" w:rsidRPr="00287665">
        <w:rPr>
          <w:rFonts w:ascii="Times New Roman" w:hAnsi="Times New Roman"/>
          <w:sz w:val="24"/>
          <w:szCs w:val="24"/>
          <w:lang w:val="en-US"/>
        </w:rPr>
        <w:t>(white boxes, &lt;5 years) panelists with all the accessions of the experiment by using projective mapping methodology.</w:t>
      </w:r>
      <w:r w:rsidR="00066F53" w:rsidRPr="00287665">
        <w:rPr>
          <w:rFonts w:ascii="Times New Roman" w:hAnsi="Times New Roman"/>
          <w:sz w:val="24"/>
          <w:szCs w:val="24"/>
          <w:lang w:val="en-US"/>
        </w:rPr>
        <w:t xml:space="preserve"> Red symbols correspond to the Belltall accessions (B1-B16), blue correspond to the controls (T1-T5), and the green triangle to the position of the ideotype in the dissimilarity space according to each panelist judgement. Triangles are used to highlight the closest accessions to the ideotype.</w:t>
      </w:r>
      <w:r w:rsidR="00953AD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B2D46">
        <w:rPr>
          <w:rFonts w:ascii="Times New Roman" w:hAnsi="Times New Roman"/>
          <w:sz w:val="24"/>
          <w:szCs w:val="24"/>
          <w:lang w:val="en-US"/>
        </w:rPr>
        <w:t xml:space="preserve">Panelists are coded with </w:t>
      </w:r>
      <w:r w:rsidR="0079169E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4B2D46">
        <w:rPr>
          <w:rFonts w:ascii="Times New Roman" w:hAnsi="Times New Roman"/>
          <w:sz w:val="24"/>
          <w:szCs w:val="24"/>
          <w:lang w:val="en-US"/>
        </w:rPr>
        <w:t xml:space="preserve">numbers shown above the boxes. </w:t>
      </w:r>
    </w:p>
    <w:p w14:paraId="1980A6C2" w14:textId="1642324B" w:rsidR="00DD60E7" w:rsidRDefault="00DD60E7" w:rsidP="00DD60E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49C7">
        <w:rPr>
          <w:rFonts w:ascii="Times New Roman" w:hAnsi="Times New Roman" w:cs="Times New Roman"/>
          <w:b/>
          <w:sz w:val="24"/>
          <w:szCs w:val="24"/>
          <w:lang w:val="en-US"/>
        </w:rPr>
        <w:t>Supplementary Figure 2.</w:t>
      </w:r>
      <w:r w:rsidRPr="00BF49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F73AE">
        <w:rPr>
          <w:rFonts w:ascii="Times New Roman" w:hAnsi="Times New Roman" w:cs="Times New Roman"/>
          <w:sz w:val="24"/>
          <w:szCs w:val="24"/>
          <w:lang w:val="en-US"/>
        </w:rPr>
        <w:t xml:space="preserve">orrelation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analysis </w:t>
      </w:r>
      <w:r w:rsidRPr="00BF73AE">
        <w:rPr>
          <w:rFonts w:ascii="Times New Roman" w:hAnsi="Times New Roman" w:cs="Times New Roman"/>
          <w:sz w:val="24"/>
          <w:szCs w:val="24"/>
          <w:lang w:val="en-US"/>
        </w:rPr>
        <w:t>between the weight of the sowing clove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F73AE">
        <w:rPr>
          <w:rFonts w:ascii="Times New Roman" w:hAnsi="Times New Roman" w:cs="Times New Roman"/>
          <w:sz w:val="24"/>
          <w:szCs w:val="24"/>
          <w:lang w:val="en-US"/>
        </w:rPr>
        <w:t xml:space="preserve"> and their corresponding bulb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F73AE">
        <w:rPr>
          <w:rFonts w:ascii="Times New Roman" w:hAnsi="Times New Roman" w:cs="Times New Roman"/>
          <w:sz w:val="24"/>
          <w:szCs w:val="24"/>
          <w:lang w:val="en-US"/>
        </w:rPr>
        <w:t xml:space="preserve"> weight at harvest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73A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five controls</w:t>
      </w:r>
      <w:r w:rsidRPr="00BF73AE">
        <w:rPr>
          <w:rFonts w:ascii="Times New Roman" w:hAnsi="Times New Roman" w:cs="Times New Roman"/>
          <w:sz w:val="24"/>
          <w:szCs w:val="24"/>
          <w:lang w:val="en-US"/>
        </w:rPr>
        <w:t xml:space="preserve"> grown in Agropolis (AGR) and Belltall (BTLL).</w:t>
      </w:r>
    </w:p>
    <w:p w14:paraId="04902E48" w14:textId="0514A95D" w:rsidR="00DD60E7" w:rsidRDefault="00DD60E7" w:rsidP="00DD60E7">
      <w:pPr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DD60E7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Supplementary Table 1. </w:t>
      </w:r>
      <w:r w:rsidR="00A62656" w:rsidRPr="00852555">
        <w:rPr>
          <w:rFonts w:ascii="Times New Roman" w:hAnsi="Times New Roman" w:cs="Times New Roman"/>
          <w:noProof/>
          <w:sz w:val="24"/>
          <w:szCs w:val="24"/>
          <w:lang w:val="en-US"/>
        </w:rPr>
        <w:t>A</w:t>
      </w:r>
      <w:r w:rsidR="00852555" w:rsidRPr="00852555">
        <w:rPr>
          <w:rFonts w:ascii="Times New Roman" w:hAnsi="Times New Roman" w:cs="Times New Roman"/>
          <w:noProof/>
          <w:sz w:val="24"/>
          <w:szCs w:val="24"/>
          <w:lang w:val="en-US"/>
        </w:rPr>
        <w:t>,</w:t>
      </w:r>
      <w:r w:rsidR="00852555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</w:t>
      </w:r>
      <w:r w:rsidR="00852555" w:rsidRPr="00852555">
        <w:rPr>
          <w:rFonts w:ascii="Times New Roman" w:hAnsi="Times New Roman" w:cs="Times New Roman"/>
          <w:noProof/>
          <w:sz w:val="24"/>
          <w:szCs w:val="24"/>
          <w:lang w:val="en-US"/>
        </w:rPr>
        <w:t>l</w:t>
      </w:r>
      <w:r w:rsidRPr="00DD60E7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ist of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qualitative and quantitative descriptors </w:t>
      </w:r>
      <w:r w:rsidRPr="00DD60E7">
        <w:rPr>
          <w:rFonts w:ascii="Times New Roman" w:hAnsi="Times New Roman" w:cs="Times New Roman"/>
          <w:noProof/>
          <w:sz w:val="24"/>
          <w:szCs w:val="24"/>
          <w:lang w:val="en-US"/>
        </w:rPr>
        <w:t>recorded in the trials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with their corresponding scales of measurement and acronyms. </w:t>
      </w:r>
      <w:r w:rsidR="00A62656">
        <w:rPr>
          <w:rFonts w:ascii="Times New Roman" w:hAnsi="Times New Roman" w:cs="Times New Roman"/>
          <w:noProof/>
          <w:sz w:val="24"/>
          <w:szCs w:val="24"/>
          <w:lang w:val="en-US"/>
        </w:rPr>
        <w:t>B</w:t>
      </w:r>
      <w:r w:rsidR="00852555">
        <w:rPr>
          <w:rFonts w:ascii="Times New Roman" w:hAnsi="Times New Roman" w:cs="Times New Roman"/>
          <w:noProof/>
          <w:sz w:val="24"/>
          <w:szCs w:val="24"/>
          <w:lang w:val="en-US"/>
        </w:rPr>
        <w:t>, m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ean values per locality (Belltall, BTLL; </w:t>
      </w:r>
      <w:r w:rsidRPr="00287665">
        <w:rPr>
          <w:rFonts w:ascii="Times New Roman" w:hAnsi="Times New Roman" w:cs="Times New Roman"/>
          <w:sz w:val="24"/>
          <w:szCs w:val="24"/>
          <w:lang w:val="en-US"/>
        </w:rPr>
        <w:t>Agropolis, AGR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) of the qualitative and quantitative traits measured in the Belltall accessions (B1-B16) and controls (T1-T5).</w:t>
      </w:r>
    </w:p>
    <w:p w14:paraId="10514996" w14:textId="04B20CD6" w:rsidR="00DD60E7" w:rsidRDefault="002A120F" w:rsidP="002A120F">
      <w:pPr>
        <w:pStyle w:val="Prrafodelista"/>
        <w:spacing w:beforeLines="80" w:before="192" w:afterLines="80" w:after="192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w:t>Supplementary Table 2</w:t>
      </w:r>
      <w:r w:rsidRPr="00DD60E7">
        <w:rPr>
          <w:rFonts w:ascii="Times New Roman" w:hAnsi="Times New Roman"/>
          <w:b/>
          <w:noProof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2A120F">
        <w:rPr>
          <w:rFonts w:ascii="Times New Roman" w:hAnsi="Times New Roman"/>
          <w:sz w:val="24"/>
          <w:szCs w:val="24"/>
          <w:lang w:val="en-US"/>
        </w:rPr>
        <w:t xml:space="preserve">resence of the alleles of each </w:t>
      </w:r>
      <w:r>
        <w:rPr>
          <w:rFonts w:ascii="Times New Roman" w:hAnsi="Times New Roman"/>
          <w:sz w:val="24"/>
          <w:szCs w:val="24"/>
          <w:lang w:val="en-US"/>
        </w:rPr>
        <w:t xml:space="preserve">molecular </w:t>
      </w:r>
      <w:r w:rsidRPr="002A120F">
        <w:rPr>
          <w:rFonts w:ascii="Times New Roman" w:hAnsi="Times New Roman"/>
          <w:sz w:val="24"/>
          <w:szCs w:val="24"/>
          <w:lang w:val="en-US"/>
        </w:rPr>
        <w:t xml:space="preserve">marker in the </w:t>
      </w:r>
      <w:r>
        <w:rPr>
          <w:rFonts w:ascii="Times New Roman" w:hAnsi="Times New Roman"/>
          <w:sz w:val="24"/>
          <w:szCs w:val="24"/>
          <w:lang w:val="en-US"/>
        </w:rPr>
        <w:t xml:space="preserve">garlic </w:t>
      </w:r>
      <w:r w:rsidRPr="002A120F">
        <w:rPr>
          <w:rFonts w:ascii="Times New Roman" w:hAnsi="Times New Roman"/>
          <w:sz w:val="24"/>
          <w:szCs w:val="24"/>
          <w:lang w:val="en-US"/>
        </w:rPr>
        <w:t>accessions.</w:t>
      </w:r>
      <w:r w:rsidR="0079169E" w:rsidRPr="0079169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9169E" w:rsidRPr="00F375BB">
        <w:rPr>
          <w:rFonts w:ascii="Times New Roman" w:hAnsi="Times New Roman"/>
          <w:sz w:val="24"/>
          <w:szCs w:val="24"/>
          <w:lang w:val="en-US"/>
        </w:rPr>
        <w:t>B1-B16, Belltall traditional accessions; T1-T5, controls</w:t>
      </w:r>
      <w:r w:rsidR="0079169E">
        <w:rPr>
          <w:rFonts w:ascii="Times New Roman" w:hAnsi="Times New Roman"/>
          <w:sz w:val="24"/>
          <w:szCs w:val="24"/>
          <w:lang w:val="en-US"/>
        </w:rPr>
        <w:t>.</w:t>
      </w:r>
      <w:r w:rsidR="002B13E1">
        <w:rPr>
          <w:rFonts w:ascii="Times New Roman" w:hAnsi="Times New Roman"/>
          <w:sz w:val="24"/>
          <w:szCs w:val="24"/>
          <w:lang w:val="en-US"/>
        </w:rPr>
        <w:t xml:space="preserve"> Molecular markers are described in Table 1.</w:t>
      </w:r>
      <w:bookmarkStart w:id="0" w:name="_GoBack"/>
      <w:bookmarkEnd w:id="0"/>
    </w:p>
    <w:p w14:paraId="368F941B" w14:textId="77777777" w:rsidR="00DD60E7" w:rsidRDefault="00DD60E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14:paraId="7F806FFA" w14:textId="77777777" w:rsidR="003707E8" w:rsidRPr="00287665" w:rsidRDefault="003707E8" w:rsidP="007735B4">
      <w:pPr>
        <w:pStyle w:val="Prrafodelista"/>
        <w:spacing w:beforeLines="80" w:before="192" w:afterLines="80" w:after="192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A53698A" w14:textId="77777777" w:rsidR="00DD60E7" w:rsidRDefault="00DD60E7" w:rsidP="00BC049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noProof/>
          <w:lang w:val="es-ES" w:eastAsia="es-ES"/>
        </w:rPr>
        <w:drawing>
          <wp:inline distT="0" distB="0" distL="0" distR="0" wp14:anchorId="7275270E" wp14:editId="1368486A">
            <wp:extent cx="5394960" cy="3467100"/>
            <wp:effectExtent l="0" t="0" r="0" b="0"/>
            <wp:docPr id="5" name="Imat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49859" w14:textId="1EFFF806" w:rsidR="00BF73AE" w:rsidRDefault="00DD60E7" w:rsidP="00BC0499">
      <w:pPr>
        <w:rPr>
          <w:noProof/>
          <w:highlight w:val="yellow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Supplementary Figure </w:t>
      </w:r>
      <w:r w:rsidRPr="00287665">
        <w:rPr>
          <w:rFonts w:ascii="Times New Roman" w:hAnsi="Times New Roman"/>
          <w:b/>
          <w:sz w:val="24"/>
          <w:szCs w:val="24"/>
          <w:lang w:val="en-US"/>
        </w:rPr>
        <w:t xml:space="preserve">1. </w:t>
      </w:r>
      <w:r w:rsidR="003707E8">
        <w:rPr>
          <w:rFonts w:ascii="Times New Roman" w:hAnsi="Times New Roman"/>
          <w:b/>
          <w:sz w:val="24"/>
          <w:szCs w:val="24"/>
          <w:lang w:val="en-US"/>
        </w:rPr>
        <w:br w:type="page"/>
      </w:r>
    </w:p>
    <w:p w14:paraId="40AA1ACA" w14:textId="77777777" w:rsidR="00BF73AE" w:rsidRDefault="00BF73AE" w:rsidP="00BF73AE">
      <w:pPr>
        <w:rPr>
          <w:lang w:val="en-US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2298582E" wp14:editId="497BAB16">
            <wp:extent cx="5397500" cy="2268855"/>
            <wp:effectExtent l="0" t="0" r="0" b="0"/>
            <wp:docPr id="12" name="Imat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BC14D" w14:textId="5CEFFEA1" w:rsidR="00DD60E7" w:rsidRDefault="00BF73AE" w:rsidP="00DD60E7">
      <w:pPr>
        <w:jc w:val="both"/>
        <w:rPr>
          <w:lang w:val="en-US"/>
        </w:rPr>
      </w:pPr>
      <w:r w:rsidRPr="00BF49C7">
        <w:rPr>
          <w:rFonts w:ascii="Times New Roman" w:hAnsi="Times New Roman" w:cs="Times New Roman"/>
          <w:b/>
          <w:sz w:val="24"/>
          <w:szCs w:val="24"/>
          <w:lang w:val="en-US"/>
        </w:rPr>
        <w:t>Supplementary Figure 2.</w:t>
      </w:r>
      <w:r w:rsidRPr="00BF49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DD60E7" w:rsidSect="00191C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BB467" w16cex:dateUtc="2022-06-21T01:07:00Z"/>
  <w16cex:commentExtensible w16cex:durableId="265BB4AF" w16cex:dateUtc="2022-06-21T01:08:00Z"/>
  <w16cex:commentExtensible w16cex:durableId="265BB54B" w16cex:dateUtc="2022-06-21T01:11:00Z"/>
  <w16cex:commentExtensible w16cex:durableId="265BBF4C" w16cex:dateUtc="2022-06-21T01:53:00Z"/>
  <w16cex:commentExtensible w16cex:durableId="265BC711" w16cex:dateUtc="2022-06-21T02:26:00Z"/>
  <w16cex:commentExtensible w16cex:durableId="265BC862" w16cex:dateUtc="2022-06-21T02:32:00Z"/>
  <w16cex:commentExtensible w16cex:durableId="265BC81E" w16cex:dateUtc="2022-06-21T02:31:00Z"/>
  <w16cex:commentExtensible w16cex:durableId="2669A3FF" w16cex:dateUtc="2022-07-01T14:49:00Z"/>
  <w16cex:commentExtensible w16cex:durableId="265BC8EE" w16cex:dateUtc="2022-06-21T02:34:00Z"/>
  <w16cex:commentExtensible w16cex:durableId="2669A435" w16cex:dateUtc="2022-07-01T14:49:00Z"/>
  <w16cex:commentExtensible w16cex:durableId="2669A476" w16cex:dateUtc="2022-07-01T14:51:00Z"/>
  <w16cex:commentExtensible w16cex:durableId="265BCDD9" w16cex:dateUtc="2022-06-21T02:5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EB5"/>
    <w:rsid w:val="00002CE6"/>
    <w:rsid w:val="00002E03"/>
    <w:rsid w:val="0005309C"/>
    <w:rsid w:val="00066F53"/>
    <w:rsid w:val="00095B0E"/>
    <w:rsid w:val="000B65EA"/>
    <w:rsid w:val="001030CF"/>
    <w:rsid w:val="00126575"/>
    <w:rsid w:val="00161D1F"/>
    <w:rsid w:val="00174BD9"/>
    <w:rsid w:val="00191CC8"/>
    <w:rsid w:val="001B6A09"/>
    <w:rsid w:val="0021359E"/>
    <w:rsid w:val="00287665"/>
    <w:rsid w:val="002A120F"/>
    <w:rsid w:val="002B13E1"/>
    <w:rsid w:val="00310DEE"/>
    <w:rsid w:val="003421E0"/>
    <w:rsid w:val="003707E8"/>
    <w:rsid w:val="003A7B9C"/>
    <w:rsid w:val="003B5E7D"/>
    <w:rsid w:val="004945B8"/>
    <w:rsid w:val="004B2D46"/>
    <w:rsid w:val="00524380"/>
    <w:rsid w:val="00572EE1"/>
    <w:rsid w:val="005741A6"/>
    <w:rsid w:val="0057791E"/>
    <w:rsid w:val="005B6728"/>
    <w:rsid w:val="005C19AF"/>
    <w:rsid w:val="005E29E0"/>
    <w:rsid w:val="005F1464"/>
    <w:rsid w:val="0061080E"/>
    <w:rsid w:val="0063270F"/>
    <w:rsid w:val="006652DE"/>
    <w:rsid w:val="00694C55"/>
    <w:rsid w:val="006E42AA"/>
    <w:rsid w:val="00751130"/>
    <w:rsid w:val="00755F65"/>
    <w:rsid w:val="007735B4"/>
    <w:rsid w:val="00790AE1"/>
    <w:rsid w:val="0079169E"/>
    <w:rsid w:val="007A52B1"/>
    <w:rsid w:val="007D3AE0"/>
    <w:rsid w:val="007F4DC6"/>
    <w:rsid w:val="00814938"/>
    <w:rsid w:val="008405C1"/>
    <w:rsid w:val="00852555"/>
    <w:rsid w:val="00887585"/>
    <w:rsid w:val="00890996"/>
    <w:rsid w:val="008B1463"/>
    <w:rsid w:val="008C6766"/>
    <w:rsid w:val="009120E2"/>
    <w:rsid w:val="0094619C"/>
    <w:rsid w:val="00953AD9"/>
    <w:rsid w:val="009973D1"/>
    <w:rsid w:val="009A03DC"/>
    <w:rsid w:val="009D2374"/>
    <w:rsid w:val="00A13D13"/>
    <w:rsid w:val="00A21187"/>
    <w:rsid w:val="00A24C61"/>
    <w:rsid w:val="00A25AD3"/>
    <w:rsid w:val="00A404A3"/>
    <w:rsid w:val="00A622FD"/>
    <w:rsid w:val="00A62656"/>
    <w:rsid w:val="00A81718"/>
    <w:rsid w:val="00AA7480"/>
    <w:rsid w:val="00AE641C"/>
    <w:rsid w:val="00AF4F79"/>
    <w:rsid w:val="00B01819"/>
    <w:rsid w:val="00B56DC9"/>
    <w:rsid w:val="00BC0499"/>
    <w:rsid w:val="00BC0905"/>
    <w:rsid w:val="00BE429C"/>
    <w:rsid w:val="00BE6266"/>
    <w:rsid w:val="00BF49C7"/>
    <w:rsid w:val="00BF73AE"/>
    <w:rsid w:val="00C01C17"/>
    <w:rsid w:val="00C13336"/>
    <w:rsid w:val="00C73963"/>
    <w:rsid w:val="00CC3906"/>
    <w:rsid w:val="00D16FE4"/>
    <w:rsid w:val="00D25B74"/>
    <w:rsid w:val="00D358DD"/>
    <w:rsid w:val="00D3698C"/>
    <w:rsid w:val="00D85B4D"/>
    <w:rsid w:val="00D97DF0"/>
    <w:rsid w:val="00DD60E7"/>
    <w:rsid w:val="00DF3631"/>
    <w:rsid w:val="00E068BB"/>
    <w:rsid w:val="00E71154"/>
    <w:rsid w:val="00ED5D02"/>
    <w:rsid w:val="00F44EB5"/>
    <w:rsid w:val="00FC4141"/>
    <w:rsid w:val="00FE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2E6F"/>
  <w15:chartTrackingRefBased/>
  <w15:docId w15:val="{B470EE23-8250-4DC2-AB0F-3AB0136A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35B4"/>
    <w:pPr>
      <w:ind w:left="720"/>
      <w:contextualSpacing/>
    </w:pPr>
    <w:rPr>
      <w:rFonts w:ascii="Calibri" w:eastAsia="Calibri" w:hAnsi="Calibri" w:cs="Times New Roman"/>
      <w:lang w:val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161D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61D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61D1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61D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61D1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1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1D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20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212</Words>
  <Characters>1166</Characters>
  <Application>Microsoft Office Word</Application>
  <DocSecurity>0</DocSecurity>
  <Lines>9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UPC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Casals</dc:creator>
  <cp:keywords/>
  <dc:description/>
  <cp:lastModifiedBy>Microsoft Office User</cp:lastModifiedBy>
  <cp:revision>4</cp:revision>
  <dcterms:created xsi:type="dcterms:W3CDTF">2022-10-28T08:35:00Z</dcterms:created>
  <dcterms:modified xsi:type="dcterms:W3CDTF">2022-10-28T10:42:00Z</dcterms:modified>
</cp:coreProperties>
</file>