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4AD808" w14:textId="615F5BCE" w:rsidR="00F125EE" w:rsidRPr="00DC623A" w:rsidRDefault="00F125EE" w:rsidP="009A670E">
      <w:pPr>
        <w:jc w:val="center"/>
        <w:rPr>
          <w:rFonts w:ascii="Arial" w:hAnsi="Arial" w:cs="Arial"/>
          <w:sz w:val="20"/>
        </w:rPr>
      </w:pPr>
    </w:p>
    <w:p w14:paraId="46F72BDF" w14:textId="19A111FE" w:rsidR="00B16F99" w:rsidRDefault="00B16F99" w:rsidP="00B16F99">
      <w:pPr>
        <w:rPr>
          <w:rFonts w:ascii="Arial" w:hAnsi="Arial" w:cs="Arial"/>
          <w:b/>
          <w:sz w:val="28"/>
          <w:szCs w:val="28"/>
        </w:rPr>
      </w:pPr>
      <w:r w:rsidRPr="00DC623A">
        <w:rPr>
          <w:rFonts w:ascii="Arial" w:hAnsi="Arial" w:cs="Arial"/>
          <w:b/>
          <w:sz w:val="28"/>
          <w:szCs w:val="28"/>
        </w:rPr>
        <w:t xml:space="preserve">Supplementary </w:t>
      </w:r>
      <w:r w:rsidR="00D67E35">
        <w:rPr>
          <w:rFonts w:ascii="Arial" w:hAnsi="Arial" w:cs="Arial"/>
          <w:b/>
          <w:sz w:val="28"/>
          <w:szCs w:val="28"/>
        </w:rPr>
        <w:t>Material</w:t>
      </w:r>
      <w:r w:rsidRPr="00DC623A">
        <w:rPr>
          <w:rFonts w:ascii="Arial" w:hAnsi="Arial" w:cs="Arial"/>
          <w:b/>
          <w:sz w:val="28"/>
          <w:szCs w:val="28"/>
        </w:rPr>
        <w:t xml:space="preserve"> for</w:t>
      </w:r>
    </w:p>
    <w:p w14:paraId="378855DA" w14:textId="04526B5C" w:rsidR="00D67E35" w:rsidRDefault="00D67E35" w:rsidP="00B16F99">
      <w:pPr>
        <w:rPr>
          <w:rFonts w:ascii="Arial" w:hAnsi="Arial" w:cs="Arial"/>
          <w:b/>
          <w:sz w:val="28"/>
          <w:szCs w:val="28"/>
        </w:rPr>
      </w:pPr>
    </w:p>
    <w:p w14:paraId="68ED4FC2" w14:textId="77777777" w:rsidR="00D67E35" w:rsidRPr="00DC623A" w:rsidRDefault="00D67E35" w:rsidP="00B16F99">
      <w:pPr>
        <w:rPr>
          <w:rFonts w:ascii="Arial" w:hAnsi="Arial" w:cs="Arial"/>
          <w:b/>
          <w:sz w:val="28"/>
          <w:szCs w:val="28"/>
        </w:rPr>
      </w:pPr>
    </w:p>
    <w:p w14:paraId="695DC61D" w14:textId="77777777" w:rsidR="00D67E35" w:rsidRPr="00D67E35" w:rsidRDefault="00D67E35" w:rsidP="00D67E35">
      <w:pPr>
        <w:spacing w:line="276" w:lineRule="auto"/>
        <w:rPr>
          <w:rFonts w:ascii="Arial" w:hAnsi="Arial" w:cs="Arial"/>
          <w:sz w:val="28"/>
          <w:szCs w:val="28"/>
          <w:lang w:val="en-GB"/>
        </w:rPr>
      </w:pPr>
      <w:r w:rsidRPr="00D67E35">
        <w:rPr>
          <w:rFonts w:ascii="Arial" w:hAnsi="Arial" w:cs="Arial"/>
          <w:sz w:val="28"/>
          <w:szCs w:val="28"/>
          <w:lang w:val="en-GB"/>
        </w:rPr>
        <w:t>Volatile trace metals deposited in ice as soluble volcanic aerosols during the 17.</w:t>
      </w:r>
      <w:proofErr w:type="gramStart"/>
      <w:r w:rsidRPr="00D67E35">
        <w:rPr>
          <w:rFonts w:ascii="Arial" w:hAnsi="Arial" w:cs="Arial"/>
          <w:sz w:val="28"/>
          <w:szCs w:val="28"/>
          <w:lang w:val="en-GB"/>
        </w:rPr>
        <w:t>7.ka</w:t>
      </w:r>
      <w:proofErr w:type="gramEnd"/>
      <w:r w:rsidRPr="00D67E35">
        <w:rPr>
          <w:rFonts w:ascii="Arial" w:hAnsi="Arial" w:cs="Arial"/>
          <w:sz w:val="28"/>
          <w:szCs w:val="28"/>
          <w:lang w:val="en-GB"/>
        </w:rPr>
        <w:t xml:space="preserve"> eruptions of Mt Takahe, West Antarctic Rift </w:t>
      </w:r>
    </w:p>
    <w:p w14:paraId="242F5E10" w14:textId="77777777" w:rsidR="00D67E35" w:rsidRDefault="00D67E35" w:rsidP="00376C80">
      <w:pPr>
        <w:spacing w:line="276" w:lineRule="auto"/>
        <w:rPr>
          <w:rFonts w:ascii="Arial" w:hAnsi="Arial" w:cs="Arial"/>
          <w:sz w:val="20"/>
        </w:rPr>
      </w:pPr>
    </w:p>
    <w:p w14:paraId="3287588B" w14:textId="77777777" w:rsidR="00D67E35" w:rsidRDefault="00D67E35" w:rsidP="00376C80">
      <w:pPr>
        <w:spacing w:line="276" w:lineRule="auto"/>
        <w:rPr>
          <w:rFonts w:ascii="Arial" w:hAnsi="Arial" w:cs="Arial"/>
          <w:sz w:val="20"/>
        </w:rPr>
      </w:pPr>
    </w:p>
    <w:p w14:paraId="789F887A" w14:textId="48384A4D" w:rsidR="00376C80" w:rsidRDefault="00376C80" w:rsidP="00376C80">
      <w:pPr>
        <w:spacing w:line="276" w:lineRule="auto"/>
        <w:rPr>
          <w:rFonts w:ascii="Arial" w:hAnsi="Arial" w:cs="Arial"/>
          <w:sz w:val="20"/>
          <w:vertAlign w:val="superscript"/>
        </w:rPr>
      </w:pPr>
      <w:r w:rsidRPr="0014302E">
        <w:rPr>
          <w:rFonts w:ascii="Arial" w:hAnsi="Arial" w:cs="Arial"/>
          <w:sz w:val="20"/>
        </w:rPr>
        <w:t>Emily Mason</w:t>
      </w:r>
      <w:r w:rsidRPr="0014302E">
        <w:rPr>
          <w:rFonts w:ascii="Arial" w:hAnsi="Arial" w:cs="Arial"/>
          <w:sz w:val="20"/>
          <w:vertAlign w:val="superscript"/>
        </w:rPr>
        <w:t>1</w:t>
      </w:r>
      <w:r w:rsidRPr="0014302E">
        <w:rPr>
          <w:rFonts w:ascii="Arial" w:hAnsi="Arial" w:cs="Arial"/>
          <w:sz w:val="20"/>
        </w:rPr>
        <w:t>, Marie Edmonds</w:t>
      </w:r>
      <w:r w:rsidRPr="0014302E">
        <w:rPr>
          <w:rFonts w:ascii="Arial" w:hAnsi="Arial" w:cs="Arial"/>
          <w:sz w:val="20"/>
          <w:vertAlign w:val="superscript"/>
        </w:rPr>
        <w:t>1</w:t>
      </w:r>
      <w:r w:rsidR="004B3375">
        <w:rPr>
          <w:rFonts w:ascii="Arial" w:hAnsi="Arial" w:cs="Arial"/>
          <w:sz w:val="20"/>
          <w:vertAlign w:val="superscript"/>
        </w:rPr>
        <w:t>*</w:t>
      </w:r>
      <w:r w:rsidRPr="0014302E">
        <w:rPr>
          <w:rFonts w:ascii="Arial" w:hAnsi="Arial" w:cs="Arial"/>
          <w:sz w:val="20"/>
        </w:rPr>
        <w:t>, Jo</w:t>
      </w:r>
      <w:r>
        <w:rPr>
          <w:rFonts w:ascii="Arial" w:hAnsi="Arial" w:cs="Arial"/>
          <w:sz w:val="20"/>
        </w:rPr>
        <w:t>seph R.</w:t>
      </w:r>
      <w:r w:rsidRPr="0014302E">
        <w:rPr>
          <w:rFonts w:ascii="Arial" w:hAnsi="Arial" w:cs="Arial"/>
          <w:sz w:val="20"/>
        </w:rPr>
        <w:t xml:space="preserve"> McConnell</w:t>
      </w:r>
      <w:r w:rsidRPr="0014302E">
        <w:rPr>
          <w:rFonts w:ascii="Arial" w:hAnsi="Arial" w:cs="Arial"/>
          <w:sz w:val="20"/>
          <w:vertAlign w:val="superscript"/>
        </w:rPr>
        <w:t>2</w:t>
      </w:r>
      <w:r>
        <w:rPr>
          <w:rFonts w:ascii="Arial" w:hAnsi="Arial" w:cs="Arial"/>
          <w:sz w:val="20"/>
          <w:vertAlign w:val="superscript"/>
        </w:rPr>
        <w:t>,3</w:t>
      </w:r>
    </w:p>
    <w:p w14:paraId="64CE214F" w14:textId="77777777" w:rsidR="004B3375" w:rsidRPr="0014302E" w:rsidRDefault="004B3375" w:rsidP="00376C80">
      <w:pPr>
        <w:spacing w:line="276" w:lineRule="auto"/>
        <w:rPr>
          <w:rFonts w:ascii="Arial" w:hAnsi="Arial" w:cs="Arial"/>
          <w:sz w:val="20"/>
        </w:rPr>
      </w:pPr>
    </w:p>
    <w:p w14:paraId="1B439AB9" w14:textId="77777777" w:rsidR="00376C80" w:rsidRPr="0014302E" w:rsidRDefault="00376C80" w:rsidP="00376C80">
      <w:pPr>
        <w:spacing w:line="276" w:lineRule="auto"/>
        <w:rPr>
          <w:rFonts w:ascii="Arial" w:hAnsi="Arial" w:cs="Arial"/>
          <w:sz w:val="20"/>
        </w:rPr>
      </w:pPr>
      <w:r w:rsidRPr="0014302E">
        <w:rPr>
          <w:rFonts w:ascii="Arial" w:hAnsi="Arial" w:cs="Arial"/>
          <w:sz w:val="20"/>
          <w:vertAlign w:val="superscript"/>
        </w:rPr>
        <w:t>1</w:t>
      </w:r>
      <w:r w:rsidRPr="0014302E">
        <w:rPr>
          <w:rFonts w:ascii="Arial" w:hAnsi="Arial" w:cs="Arial"/>
          <w:sz w:val="20"/>
        </w:rPr>
        <w:t xml:space="preserve">Department of Earth Sciences, University of Cambridge, Downing Street, Cambridge, </w:t>
      </w:r>
      <w:proofErr w:type="spellStart"/>
      <w:r w:rsidRPr="0014302E">
        <w:rPr>
          <w:rFonts w:ascii="Arial" w:hAnsi="Arial" w:cs="Arial"/>
          <w:sz w:val="20"/>
        </w:rPr>
        <w:t>Cambridgeshire</w:t>
      </w:r>
      <w:proofErr w:type="spellEnd"/>
      <w:r w:rsidRPr="0014302E">
        <w:rPr>
          <w:rFonts w:ascii="Arial" w:hAnsi="Arial" w:cs="Arial"/>
          <w:sz w:val="20"/>
        </w:rPr>
        <w:t>, CB2 3EQ, UK</w:t>
      </w:r>
    </w:p>
    <w:p w14:paraId="0B935BFD" w14:textId="77777777" w:rsidR="00376C80" w:rsidRDefault="00376C80" w:rsidP="00376C80">
      <w:pPr>
        <w:spacing w:line="276" w:lineRule="auto"/>
        <w:rPr>
          <w:rFonts w:ascii="Arial" w:hAnsi="Arial" w:cs="Arial"/>
          <w:sz w:val="20"/>
        </w:rPr>
      </w:pPr>
      <w:r w:rsidRPr="0014302E">
        <w:rPr>
          <w:rFonts w:ascii="Arial" w:hAnsi="Arial" w:cs="Arial"/>
          <w:sz w:val="20"/>
          <w:vertAlign w:val="superscript"/>
        </w:rPr>
        <w:t>2</w:t>
      </w:r>
      <w:r w:rsidRPr="0014302E">
        <w:rPr>
          <w:rFonts w:ascii="Arial" w:hAnsi="Arial" w:cs="Arial"/>
          <w:sz w:val="20"/>
        </w:rPr>
        <w:t>D</w:t>
      </w:r>
      <w:r>
        <w:rPr>
          <w:rFonts w:ascii="Arial" w:hAnsi="Arial" w:cs="Arial"/>
          <w:sz w:val="20"/>
        </w:rPr>
        <w:t>ivision of Hydrologic Science, D</w:t>
      </w:r>
      <w:r w:rsidRPr="0014302E">
        <w:rPr>
          <w:rFonts w:ascii="Arial" w:hAnsi="Arial" w:cs="Arial"/>
          <w:sz w:val="20"/>
        </w:rPr>
        <w:t xml:space="preserve">esert Research </w:t>
      </w:r>
      <w:proofErr w:type="gramStart"/>
      <w:r w:rsidRPr="0014302E">
        <w:rPr>
          <w:rFonts w:ascii="Arial" w:hAnsi="Arial" w:cs="Arial"/>
          <w:sz w:val="20"/>
        </w:rPr>
        <w:t>Institute,  2215</w:t>
      </w:r>
      <w:proofErr w:type="gramEnd"/>
      <w:r w:rsidRPr="0014302E">
        <w:rPr>
          <w:rFonts w:ascii="Arial" w:hAnsi="Arial" w:cs="Arial"/>
          <w:sz w:val="20"/>
        </w:rPr>
        <w:t xml:space="preserve"> </w:t>
      </w:r>
      <w:proofErr w:type="spellStart"/>
      <w:r w:rsidRPr="0014302E">
        <w:rPr>
          <w:rFonts w:ascii="Arial" w:hAnsi="Arial" w:cs="Arial"/>
          <w:sz w:val="20"/>
        </w:rPr>
        <w:t>Raggio</w:t>
      </w:r>
      <w:proofErr w:type="spellEnd"/>
      <w:r w:rsidRPr="0014302E">
        <w:rPr>
          <w:rFonts w:ascii="Arial" w:hAnsi="Arial" w:cs="Arial"/>
          <w:sz w:val="20"/>
        </w:rPr>
        <w:t xml:space="preserve"> Parkway, Reno, NV 89512, USA</w:t>
      </w:r>
    </w:p>
    <w:p w14:paraId="2F3CB5E7" w14:textId="602851A5" w:rsidR="00376C80" w:rsidRDefault="00376C80" w:rsidP="00376C80">
      <w:pPr>
        <w:spacing w:line="276" w:lineRule="auto"/>
        <w:rPr>
          <w:rFonts w:ascii="Arial" w:hAnsi="Arial" w:cs="Arial"/>
          <w:sz w:val="20"/>
        </w:rPr>
      </w:pPr>
      <w:r w:rsidRPr="00682571">
        <w:rPr>
          <w:rFonts w:ascii="Arial" w:hAnsi="Arial" w:cs="Arial"/>
          <w:sz w:val="20"/>
          <w:vertAlign w:val="superscript"/>
        </w:rPr>
        <w:t>3</w:t>
      </w:r>
      <w:r>
        <w:rPr>
          <w:rFonts w:ascii="Arial" w:hAnsi="Arial" w:cs="Arial"/>
          <w:sz w:val="20"/>
        </w:rPr>
        <w:t>Sir Nicholas Shackleton Visiting Fellow, Clare Hall, University of Cambridge, Cambridge CB3 9AL, UK</w:t>
      </w:r>
    </w:p>
    <w:p w14:paraId="05D10B6D" w14:textId="77777777" w:rsidR="00376C80" w:rsidRPr="0014302E" w:rsidRDefault="00376C80" w:rsidP="00376C80">
      <w:pPr>
        <w:spacing w:line="276" w:lineRule="auto"/>
        <w:rPr>
          <w:rFonts w:ascii="Arial" w:hAnsi="Arial" w:cs="Arial"/>
          <w:sz w:val="20"/>
        </w:rPr>
      </w:pPr>
    </w:p>
    <w:p w14:paraId="471B3336" w14:textId="36AF91E5" w:rsidR="00376C80" w:rsidRPr="0014302E" w:rsidRDefault="00376C80" w:rsidP="00376C80">
      <w:pPr>
        <w:spacing w:line="276" w:lineRule="auto"/>
        <w:rPr>
          <w:rFonts w:ascii="Arial" w:hAnsi="Arial" w:cs="Arial"/>
          <w:sz w:val="20"/>
        </w:rPr>
      </w:pPr>
    </w:p>
    <w:p w14:paraId="41FAE993" w14:textId="3846F023" w:rsidR="002C030F" w:rsidRPr="00DC623A" w:rsidRDefault="00376C80" w:rsidP="004B3375">
      <w:pPr>
        <w:spacing w:line="276" w:lineRule="auto"/>
        <w:rPr>
          <w:rFonts w:ascii="Arial" w:hAnsi="Arial" w:cs="Arial"/>
          <w:sz w:val="20"/>
        </w:rPr>
      </w:pPr>
      <w:r w:rsidRPr="0014302E">
        <w:rPr>
          <w:rFonts w:ascii="Arial" w:hAnsi="Arial" w:cs="Arial"/>
          <w:b/>
          <w:sz w:val="20"/>
        </w:rPr>
        <w:t xml:space="preserve">Email: </w:t>
      </w:r>
      <w:hyperlink r:id="rId8" w:history="1">
        <w:r w:rsidR="004B3375" w:rsidRPr="00311AFF">
          <w:rPr>
            <w:rStyle w:val="Hyperlink"/>
            <w:rFonts w:ascii="Arial" w:hAnsi="Arial" w:cs="Arial"/>
            <w:sz w:val="20"/>
          </w:rPr>
          <w:t>marie.edmonds@esc.cam.ac.uk</w:t>
        </w:r>
      </w:hyperlink>
    </w:p>
    <w:p w14:paraId="51DF9633" w14:textId="77777777" w:rsidR="00015F74" w:rsidRPr="00DC623A" w:rsidRDefault="00015F74">
      <w:pPr>
        <w:rPr>
          <w:rFonts w:ascii="Arial" w:hAnsi="Arial" w:cs="Arial"/>
          <w:b/>
          <w:sz w:val="20"/>
        </w:rPr>
      </w:pPr>
    </w:p>
    <w:p w14:paraId="09920EA7" w14:textId="77777777" w:rsidR="002C030F" w:rsidRPr="00DC623A" w:rsidRDefault="009743A9">
      <w:pPr>
        <w:rPr>
          <w:rFonts w:ascii="Arial" w:hAnsi="Arial" w:cs="Arial"/>
          <w:b/>
          <w:sz w:val="20"/>
        </w:rPr>
      </w:pPr>
      <w:r w:rsidRPr="00DC623A">
        <w:rPr>
          <w:rFonts w:ascii="Arial" w:hAnsi="Arial" w:cs="Arial"/>
          <w:b/>
          <w:sz w:val="20"/>
        </w:rPr>
        <w:t xml:space="preserve">This PDF file </w:t>
      </w:r>
      <w:r w:rsidR="002C030F" w:rsidRPr="00DC623A">
        <w:rPr>
          <w:rFonts w:ascii="Arial" w:hAnsi="Arial" w:cs="Arial"/>
          <w:b/>
          <w:sz w:val="20"/>
        </w:rPr>
        <w:t>includes:</w:t>
      </w:r>
    </w:p>
    <w:p w14:paraId="4348D444" w14:textId="77777777" w:rsidR="002C030F" w:rsidRPr="00DC623A" w:rsidRDefault="002C030F">
      <w:pPr>
        <w:rPr>
          <w:rFonts w:ascii="Arial" w:hAnsi="Arial" w:cs="Arial"/>
          <w:sz w:val="20"/>
        </w:rPr>
      </w:pPr>
    </w:p>
    <w:p w14:paraId="21670AEA" w14:textId="7077BB0A" w:rsidR="002C030F" w:rsidRPr="00DC623A" w:rsidRDefault="00DA59EA" w:rsidP="00262D72">
      <w:pPr>
        <w:ind w:left="720"/>
        <w:rPr>
          <w:rFonts w:ascii="Arial" w:hAnsi="Arial" w:cs="Arial"/>
          <w:sz w:val="20"/>
        </w:rPr>
      </w:pPr>
      <w:r w:rsidRPr="00DC623A">
        <w:rPr>
          <w:rFonts w:ascii="Arial" w:hAnsi="Arial" w:cs="Arial"/>
          <w:sz w:val="20"/>
        </w:rPr>
        <w:t>Figures</w:t>
      </w:r>
      <w:r w:rsidR="00A3403B" w:rsidRPr="00DC623A">
        <w:rPr>
          <w:rFonts w:ascii="Arial" w:hAnsi="Arial" w:cs="Arial"/>
          <w:sz w:val="20"/>
        </w:rPr>
        <w:t xml:space="preserve"> </w:t>
      </w:r>
      <w:r w:rsidR="002C030F" w:rsidRPr="00DC623A">
        <w:rPr>
          <w:rFonts w:ascii="Arial" w:hAnsi="Arial" w:cs="Arial"/>
          <w:sz w:val="20"/>
        </w:rPr>
        <w:t>S1</w:t>
      </w:r>
      <w:r w:rsidR="00A3403B" w:rsidRPr="00DC623A">
        <w:rPr>
          <w:rFonts w:ascii="Arial" w:hAnsi="Arial" w:cs="Arial"/>
          <w:sz w:val="20"/>
        </w:rPr>
        <w:t xml:space="preserve"> to </w:t>
      </w:r>
      <w:r w:rsidR="002C030F" w:rsidRPr="00DC623A">
        <w:rPr>
          <w:rFonts w:ascii="Arial" w:hAnsi="Arial" w:cs="Arial"/>
          <w:sz w:val="20"/>
        </w:rPr>
        <w:t>S</w:t>
      </w:r>
      <w:r w:rsidR="004A5853">
        <w:rPr>
          <w:rFonts w:ascii="Arial" w:hAnsi="Arial" w:cs="Arial"/>
          <w:sz w:val="20"/>
        </w:rPr>
        <w:t>5</w:t>
      </w:r>
    </w:p>
    <w:p w14:paraId="091A6F7B" w14:textId="1B4931B6" w:rsidR="002C030F" w:rsidRPr="00DC623A" w:rsidRDefault="002C030F" w:rsidP="00262D72">
      <w:pPr>
        <w:ind w:left="720"/>
        <w:rPr>
          <w:rFonts w:ascii="Arial" w:hAnsi="Arial" w:cs="Arial"/>
          <w:sz w:val="20"/>
        </w:rPr>
      </w:pPr>
      <w:r w:rsidRPr="00DC623A">
        <w:rPr>
          <w:rFonts w:ascii="Arial" w:hAnsi="Arial" w:cs="Arial"/>
          <w:sz w:val="20"/>
        </w:rPr>
        <w:t>Table S1</w:t>
      </w:r>
    </w:p>
    <w:p w14:paraId="0CBE331E" w14:textId="6C1B77E2" w:rsidR="00F74F95" w:rsidRPr="00DC623A" w:rsidRDefault="00CF16C9" w:rsidP="00262D72">
      <w:pPr>
        <w:ind w:left="720"/>
        <w:rPr>
          <w:rFonts w:ascii="Arial" w:hAnsi="Arial" w:cs="Arial"/>
          <w:sz w:val="20"/>
        </w:rPr>
      </w:pPr>
      <w:r w:rsidRPr="00DC623A">
        <w:rPr>
          <w:rFonts w:ascii="Arial" w:hAnsi="Arial" w:cs="Arial"/>
          <w:sz w:val="20"/>
        </w:rPr>
        <w:t xml:space="preserve">Legend </w:t>
      </w:r>
      <w:r w:rsidR="00F74F95" w:rsidRPr="00DC623A">
        <w:rPr>
          <w:rFonts w:ascii="Arial" w:hAnsi="Arial" w:cs="Arial"/>
          <w:sz w:val="20"/>
        </w:rPr>
        <w:t xml:space="preserve">for </w:t>
      </w:r>
      <w:r w:rsidRPr="00DC623A">
        <w:rPr>
          <w:rFonts w:ascii="Arial" w:hAnsi="Arial" w:cs="Arial"/>
          <w:sz w:val="20"/>
        </w:rPr>
        <w:t xml:space="preserve">Dataset </w:t>
      </w:r>
      <w:r w:rsidR="00F74F95" w:rsidRPr="00DC623A">
        <w:rPr>
          <w:rFonts w:ascii="Arial" w:hAnsi="Arial" w:cs="Arial"/>
          <w:sz w:val="20"/>
        </w:rPr>
        <w:t>S1</w:t>
      </w:r>
    </w:p>
    <w:p w14:paraId="77BBB45A" w14:textId="7B7DD38A" w:rsidR="001C0520" w:rsidRPr="00DC623A" w:rsidRDefault="00CF16C9" w:rsidP="00262D72">
      <w:pPr>
        <w:ind w:left="720"/>
        <w:rPr>
          <w:rFonts w:ascii="Arial" w:hAnsi="Arial" w:cs="Arial"/>
          <w:sz w:val="20"/>
        </w:rPr>
      </w:pPr>
      <w:r w:rsidRPr="00DC623A">
        <w:rPr>
          <w:rFonts w:ascii="Arial" w:hAnsi="Arial" w:cs="Arial"/>
          <w:sz w:val="20"/>
        </w:rPr>
        <w:t xml:space="preserve">SI </w:t>
      </w:r>
      <w:r w:rsidR="001C0520" w:rsidRPr="00DC623A">
        <w:rPr>
          <w:rFonts w:ascii="Arial" w:hAnsi="Arial" w:cs="Arial"/>
          <w:sz w:val="20"/>
        </w:rPr>
        <w:t xml:space="preserve">References </w:t>
      </w:r>
    </w:p>
    <w:p w14:paraId="7702D235" w14:textId="77777777" w:rsidR="002C030F" w:rsidRPr="00DC623A" w:rsidRDefault="002C030F">
      <w:pPr>
        <w:rPr>
          <w:rFonts w:ascii="Arial" w:hAnsi="Arial" w:cs="Arial"/>
          <w:sz w:val="20"/>
        </w:rPr>
      </w:pPr>
    </w:p>
    <w:p w14:paraId="424742A6" w14:textId="59137595" w:rsidR="00065EBD" w:rsidRPr="00DC623A" w:rsidRDefault="002C030F" w:rsidP="00015F74">
      <w:pPr>
        <w:rPr>
          <w:rFonts w:ascii="Arial" w:hAnsi="Arial" w:cs="Arial"/>
          <w:sz w:val="20"/>
        </w:rPr>
      </w:pPr>
      <w:r w:rsidRPr="00DC623A">
        <w:rPr>
          <w:rFonts w:ascii="Arial" w:hAnsi="Arial" w:cs="Arial"/>
          <w:b/>
          <w:sz w:val="20"/>
        </w:rPr>
        <w:t xml:space="preserve">Other </w:t>
      </w:r>
      <w:r w:rsidR="004B2F21" w:rsidRPr="00DC623A">
        <w:rPr>
          <w:rFonts w:ascii="Arial" w:hAnsi="Arial" w:cs="Arial"/>
          <w:b/>
          <w:sz w:val="20"/>
        </w:rPr>
        <w:t>supplementary materials</w:t>
      </w:r>
      <w:r w:rsidRPr="00DC623A">
        <w:rPr>
          <w:rFonts w:ascii="Arial" w:hAnsi="Arial" w:cs="Arial"/>
          <w:b/>
          <w:sz w:val="20"/>
        </w:rPr>
        <w:t xml:space="preserve"> </w:t>
      </w:r>
      <w:r w:rsidR="009743A9" w:rsidRPr="00DC623A">
        <w:rPr>
          <w:rFonts w:ascii="Arial" w:hAnsi="Arial" w:cs="Arial"/>
          <w:b/>
          <w:sz w:val="20"/>
        </w:rPr>
        <w:t xml:space="preserve">for this manuscript </w:t>
      </w:r>
      <w:r w:rsidRPr="00DC623A">
        <w:rPr>
          <w:rFonts w:ascii="Arial" w:hAnsi="Arial" w:cs="Arial"/>
          <w:b/>
          <w:sz w:val="20"/>
        </w:rPr>
        <w:t>include</w:t>
      </w:r>
      <w:r w:rsidR="00D346C2" w:rsidRPr="00DC623A">
        <w:rPr>
          <w:rFonts w:ascii="Arial" w:hAnsi="Arial" w:cs="Arial"/>
          <w:b/>
          <w:sz w:val="20"/>
        </w:rPr>
        <w:t xml:space="preserve"> </w:t>
      </w:r>
      <w:r w:rsidRPr="00DC623A">
        <w:rPr>
          <w:rFonts w:ascii="Arial" w:hAnsi="Arial" w:cs="Arial"/>
          <w:b/>
          <w:sz w:val="20"/>
        </w:rPr>
        <w:t>the following</w:t>
      </w:r>
      <w:r w:rsidR="00B57F00" w:rsidRPr="00DC623A">
        <w:rPr>
          <w:rFonts w:ascii="Arial" w:hAnsi="Arial" w:cs="Arial"/>
          <w:b/>
          <w:sz w:val="20"/>
        </w:rPr>
        <w:t xml:space="preserve">: </w:t>
      </w:r>
    </w:p>
    <w:p w14:paraId="42D4BCD6" w14:textId="77777777" w:rsidR="002C030F" w:rsidRPr="00DC623A" w:rsidRDefault="002C030F">
      <w:pPr>
        <w:rPr>
          <w:rFonts w:ascii="Arial" w:hAnsi="Arial" w:cs="Arial"/>
          <w:sz w:val="20"/>
        </w:rPr>
      </w:pPr>
    </w:p>
    <w:p w14:paraId="70584A3D" w14:textId="6AC7D026" w:rsidR="002C030F" w:rsidRPr="00DC623A" w:rsidRDefault="007B5946" w:rsidP="00262D72">
      <w:pPr>
        <w:ind w:left="720"/>
        <w:rPr>
          <w:rFonts w:ascii="Arial" w:hAnsi="Arial" w:cs="Arial"/>
          <w:sz w:val="20"/>
        </w:rPr>
      </w:pPr>
      <w:r w:rsidRPr="00DC623A">
        <w:rPr>
          <w:rFonts w:ascii="Arial" w:hAnsi="Arial" w:cs="Arial"/>
          <w:sz w:val="20"/>
        </w:rPr>
        <w:t>Dataset S1</w:t>
      </w:r>
    </w:p>
    <w:p w14:paraId="0624FFEC" w14:textId="77777777" w:rsidR="00065EBD" w:rsidRPr="00DC623A" w:rsidRDefault="00065EBD" w:rsidP="00262D72">
      <w:pPr>
        <w:ind w:left="720"/>
        <w:rPr>
          <w:rFonts w:ascii="Arial" w:hAnsi="Arial" w:cs="Arial"/>
          <w:sz w:val="20"/>
        </w:rPr>
      </w:pPr>
    </w:p>
    <w:p w14:paraId="547ABAA7" w14:textId="77777777" w:rsidR="00943C3C" w:rsidRPr="00DC623A" w:rsidRDefault="00015F74" w:rsidP="00017C53">
      <w:pPr>
        <w:ind w:left="720"/>
        <w:rPr>
          <w:rFonts w:ascii="Arial" w:hAnsi="Arial" w:cs="Arial"/>
          <w:sz w:val="20"/>
        </w:rPr>
      </w:pPr>
      <w:r w:rsidRPr="00DC623A">
        <w:rPr>
          <w:rFonts w:ascii="Arial" w:hAnsi="Arial" w:cs="Arial"/>
          <w:sz w:val="20"/>
        </w:rPr>
        <w:br/>
      </w:r>
    </w:p>
    <w:p w14:paraId="66EC2FD0" w14:textId="430012BF" w:rsidR="008A6A90" w:rsidRDefault="008A6A90" w:rsidP="008A6A90">
      <w:pPr>
        <w:rPr>
          <w:rFonts w:ascii="Arial" w:hAnsi="Arial" w:cs="Arial"/>
          <w:sz w:val="20"/>
          <w:lang w:val="en-GB"/>
        </w:rPr>
      </w:pPr>
      <w:r>
        <w:rPr>
          <w:rFonts w:ascii="Arial" w:hAnsi="Arial" w:cs="Arial"/>
          <w:sz w:val="20"/>
        </w:rPr>
        <w:br w:type="page"/>
      </w:r>
      <w:bookmarkStart w:id="0" w:name="_Ref65756835"/>
      <w:bookmarkStart w:id="1" w:name="_Toc71713596"/>
      <w:bookmarkStart w:id="2" w:name="_Toc71995193"/>
      <w:r w:rsidRPr="004E72B3">
        <w:rPr>
          <w:rFonts w:ascii="Arial" w:hAnsi="Arial" w:cs="Arial"/>
          <w:b/>
          <w:bCs/>
          <w:noProof/>
          <w:sz w:val="20"/>
          <w:lang w:val="en-GB"/>
        </w:rPr>
        <w:lastRenderedPageBreak/>
        <w:drawing>
          <wp:anchor distT="180340" distB="180340" distL="114300" distR="114300" simplePos="0" relativeHeight="251671552" behindDoc="0" locked="0" layoutInCell="1" allowOverlap="1" wp14:anchorId="46CD219C" wp14:editId="468F33D7">
            <wp:simplePos x="0" y="0"/>
            <wp:positionH relativeFrom="column">
              <wp:posOffset>0</wp:posOffset>
            </wp:positionH>
            <wp:positionV relativeFrom="paragraph">
              <wp:posOffset>0</wp:posOffset>
            </wp:positionV>
            <wp:extent cx="5475600" cy="3999600"/>
            <wp:effectExtent l="0" t="0" r="0" b="1270"/>
            <wp:wrapTopAndBottom/>
            <wp:docPr id="64" name="Picture 6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75600" cy="3999600"/>
                    </a:xfrm>
                    <a:prstGeom prst="rect">
                      <a:avLst/>
                    </a:prstGeom>
                  </pic:spPr>
                </pic:pic>
              </a:graphicData>
            </a:graphic>
            <wp14:sizeRelH relativeFrom="margin">
              <wp14:pctWidth>0</wp14:pctWidth>
            </wp14:sizeRelH>
            <wp14:sizeRelV relativeFrom="margin">
              <wp14:pctHeight>0</wp14:pctHeight>
            </wp14:sizeRelV>
          </wp:anchor>
        </w:drawing>
      </w:r>
      <w:r w:rsidRPr="004E72B3">
        <w:rPr>
          <w:rFonts w:ascii="Arial" w:hAnsi="Arial" w:cs="Arial"/>
          <w:b/>
          <w:bCs/>
          <w:sz w:val="20"/>
          <w:lang w:val="en-GB"/>
        </w:rPr>
        <w:t>Fig</w:t>
      </w:r>
      <w:r w:rsidR="00215182">
        <w:rPr>
          <w:rFonts w:ascii="Arial" w:hAnsi="Arial" w:cs="Arial"/>
          <w:b/>
          <w:bCs/>
          <w:sz w:val="20"/>
          <w:lang w:val="en-GB"/>
        </w:rPr>
        <w:t>.</w:t>
      </w:r>
      <w:r w:rsidRPr="004E72B3">
        <w:rPr>
          <w:rFonts w:ascii="Arial" w:hAnsi="Arial" w:cs="Arial"/>
          <w:b/>
          <w:bCs/>
          <w:sz w:val="20"/>
          <w:lang w:val="en-GB"/>
        </w:rPr>
        <w:t xml:space="preserve"> </w:t>
      </w:r>
      <w:r>
        <w:rPr>
          <w:rFonts w:ascii="Arial" w:hAnsi="Arial" w:cs="Arial"/>
          <w:b/>
          <w:bCs/>
          <w:sz w:val="20"/>
          <w:lang w:val="en-GB"/>
        </w:rPr>
        <w:t>S</w:t>
      </w:r>
      <w:r w:rsidRPr="004E72B3">
        <w:rPr>
          <w:rFonts w:ascii="Arial" w:hAnsi="Arial" w:cs="Arial"/>
          <w:b/>
          <w:bCs/>
          <w:sz w:val="20"/>
          <w:lang w:val="en-GB"/>
        </w:rPr>
        <w:fldChar w:fldCharType="begin"/>
      </w:r>
      <w:r w:rsidRPr="004E72B3">
        <w:rPr>
          <w:rFonts w:ascii="Arial" w:hAnsi="Arial" w:cs="Arial"/>
          <w:b/>
          <w:bCs/>
          <w:sz w:val="20"/>
          <w:lang w:val="en-GB"/>
        </w:rPr>
        <w:instrText xml:space="preserve"> SEQ Figure \* ARABIC \s 1 </w:instrText>
      </w:r>
      <w:r w:rsidRPr="004E72B3">
        <w:rPr>
          <w:rFonts w:ascii="Arial" w:hAnsi="Arial" w:cs="Arial"/>
          <w:b/>
          <w:bCs/>
          <w:sz w:val="20"/>
          <w:lang w:val="en-GB"/>
        </w:rPr>
        <w:fldChar w:fldCharType="separate"/>
      </w:r>
      <w:r>
        <w:rPr>
          <w:rFonts w:ascii="Arial" w:hAnsi="Arial" w:cs="Arial"/>
          <w:b/>
          <w:bCs/>
          <w:noProof/>
          <w:sz w:val="20"/>
          <w:lang w:val="en-GB"/>
        </w:rPr>
        <w:t>1</w:t>
      </w:r>
      <w:r w:rsidRPr="004E72B3">
        <w:rPr>
          <w:rFonts w:ascii="Arial" w:hAnsi="Arial" w:cs="Arial"/>
          <w:sz w:val="20"/>
        </w:rPr>
        <w:fldChar w:fldCharType="end"/>
      </w:r>
      <w:bookmarkEnd w:id="0"/>
      <w:r w:rsidRPr="004E72B3">
        <w:rPr>
          <w:rFonts w:ascii="Arial" w:hAnsi="Arial" w:cs="Arial"/>
          <w:b/>
          <w:bCs/>
          <w:sz w:val="20"/>
          <w:lang w:val="en-GB"/>
        </w:rPr>
        <w:t>. Lava compositions for Mt. Takahe and Mt. Erebus.</w:t>
      </w:r>
      <w:bookmarkEnd w:id="1"/>
      <w:bookmarkEnd w:id="2"/>
      <w:r>
        <w:rPr>
          <w:rFonts w:ascii="Arial" w:hAnsi="Arial" w:cs="Arial"/>
          <w:b/>
          <w:bCs/>
          <w:vanish/>
          <w:sz w:val="20"/>
          <w:lang w:val="en-GB"/>
        </w:rPr>
        <w:t xml:space="preserve"> </w:t>
      </w:r>
      <w:r w:rsidRPr="004E72B3">
        <w:rPr>
          <w:rFonts w:ascii="Arial" w:hAnsi="Arial" w:cs="Arial"/>
          <w:sz w:val="20"/>
          <w:lang w:val="en-GB"/>
        </w:rPr>
        <w:t xml:space="preserve">All data are from EarthChem and are given with sources in </w:t>
      </w:r>
      <w:r w:rsidR="00C43442">
        <w:rPr>
          <w:rFonts w:ascii="Arial" w:hAnsi="Arial" w:cs="Arial"/>
          <w:b/>
          <w:bCs/>
          <w:sz w:val="20"/>
          <w:lang w:val="en-GB"/>
        </w:rPr>
        <w:t>Dataset S1</w:t>
      </w:r>
      <w:r w:rsidRPr="004E72B3">
        <w:rPr>
          <w:rFonts w:ascii="Arial" w:hAnsi="Arial" w:cs="Arial"/>
          <w:b/>
          <w:bCs/>
          <w:sz w:val="20"/>
          <w:lang w:val="en-GB"/>
        </w:rPr>
        <w:t xml:space="preserve"> </w:t>
      </w:r>
      <w:r w:rsidRPr="004E72B3">
        <w:rPr>
          <w:rFonts w:ascii="Arial" w:hAnsi="Arial" w:cs="Arial"/>
          <w:sz w:val="20"/>
          <w:lang w:val="en-GB"/>
        </w:rPr>
        <w:t xml:space="preserve">(only data where the rock composition is known are used here). </w:t>
      </w:r>
      <w:r w:rsidRPr="004E72B3">
        <w:rPr>
          <w:rFonts w:ascii="Arial" w:hAnsi="Arial" w:cs="Arial"/>
          <w:b/>
          <w:bCs/>
          <w:sz w:val="20"/>
          <w:lang w:val="en-GB"/>
        </w:rPr>
        <w:t xml:space="preserve">a: </w:t>
      </w:r>
      <w:r w:rsidRPr="004E72B3">
        <w:rPr>
          <w:rFonts w:ascii="Arial" w:hAnsi="Arial" w:cs="Arial"/>
          <w:sz w:val="20"/>
          <w:lang w:val="en-GB"/>
        </w:rPr>
        <w:t>Total alkali (Na</w:t>
      </w:r>
      <w:r w:rsidRPr="004E72B3">
        <w:rPr>
          <w:rFonts w:ascii="Arial" w:hAnsi="Arial" w:cs="Arial"/>
          <w:sz w:val="20"/>
          <w:vertAlign w:val="subscript"/>
          <w:lang w:val="en-GB"/>
        </w:rPr>
        <w:t>2</w:t>
      </w:r>
      <w:r w:rsidRPr="004E72B3">
        <w:rPr>
          <w:rFonts w:ascii="Arial" w:hAnsi="Arial" w:cs="Arial"/>
          <w:sz w:val="20"/>
          <w:lang w:val="en-GB"/>
        </w:rPr>
        <w:t>O + K</w:t>
      </w:r>
      <w:r w:rsidRPr="004E72B3">
        <w:rPr>
          <w:rFonts w:ascii="Arial" w:hAnsi="Arial" w:cs="Arial"/>
          <w:sz w:val="20"/>
          <w:vertAlign w:val="subscript"/>
          <w:lang w:val="en-GB"/>
        </w:rPr>
        <w:t>2</w:t>
      </w:r>
      <w:r w:rsidRPr="004E72B3">
        <w:rPr>
          <w:rFonts w:ascii="Arial" w:hAnsi="Arial" w:cs="Arial"/>
          <w:sz w:val="20"/>
          <w:lang w:val="en-GB"/>
        </w:rPr>
        <w:t>O) versus silica (SiO</w:t>
      </w:r>
      <w:r w:rsidRPr="004E72B3">
        <w:rPr>
          <w:rFonts w:ascii="Arial" w:hAnsi="Arial" w:cs="Arial"/>
          <w:sz w:val="20"/>
          <w:vertAlign w:val="subscript"/>
          <w:lang w:val="en-GB"/>
        </w:rPr>
        <w:t>2</w:t>
      </w:r>
      <w:r w:rsidRPr="004E72B3">
        <w:rPr>
          <w:rFonts w:ascii="Arial" w:hAnsi="Arial" w:cs="Arial"/>
          <w:sz w:val="20"/>
          <w:lang w:val="en-GB"/>
        </w:rPr>
        <w:t>) plot for Mt. Takahe and Mt. Erebus lava compositions.</w:t>
      </w:r>
      <w:r w:rsidRPr="004E72B3">
        <w:rPr>
          <w:rFonts w:ascii="Arial" w:hAnsi="Arial" w:cs="Arial"/>
          <w:b/>
          <w:bCs/>
          <w:sz w:val="20"/>
          <w:lang w:val="en-GB"/>
        </w:rPr>
        <w:t xml:space="preserve"> </w:t>
      </w:r>
      <w:r w:rsidRPr="004E72B3">
        <w:rPr>
          <w:rFonts w:ascii="Arial" w:hAnsi="Arial" w:cs="Arial"/>
          <w:sz w:val="20"/>
          <w:lang w:val="en-GB"/>
        </w:rPr>
        <w:t xml:space="preserve">Semi-quantitative energy dispersive X-ray analyses are not shown. </w:t>
      </w:r>
      <w:r w:rsidRPr="004E72B3">
        <w:rPr>
          <w:rFonts w:ascii="Arial" w:hAnsi="Arial" w:cs="Arial"/>
          <w:b/>
          <w:bCs/>
          <w:sz w:val="20"/>
          <w:lang w:val="en-GB"/>
        </w:rPr>
        <w:t>b:</w:t>
      </w:r>
      <w:r w:rsidRPr="004E72B3">
        <w:rPr>
          <w:rFonts w:ascii="Arial" w:hAnsi="Arial" w:cs="Arial"/>
          <w:sz w:val="20"/>
          <w:lang w:val="en-GB"/>
        </w:rPr>
        <w:t xml:space="preserve"> S/Cl mass ratios versus SiO</w:t>
      </w:r>
      <w:r w:rsidRPr="004E72B3">
        <w:rPr>
          <w:rFonts w:ascii="Arial" w:hAnsi="Arial" w:cs="Arial"/>
          <w:sz w:val="20"/>
          <w:vertAlign w:val="subscript"/>
          <w:lang w:val="en-GB"/>
        </w:rPr>
        <w:t>2</w:t>
      </w:r>
      <w:r w:rsidRPr="004E72B3">
        <w:rPr>
          <w:rFonts w:ascii="Arial" w:hAnsi="Arial" w:cs="Arial"/>
          <w:sz w:val="20"/>
          <w:lang w:val="en-GB"/>
        </w:rPr>
        <w:t xml:space="preserve"> (</w:t>
      </w:r>
      <w:proofErr w:type="spellStart"/>
      <w:r w:rsidRPr="004E72B3">
        <w:rPr>
          <w:rFonts w:ascii="Arial" w:hAnsi="Arial" w:cs="Arial"/>
          <w:sz w:val="20"/>
          <w:lang w:val="en-GB"/>
        </w:rPr>
        <w:t>wt</w:t>
      </w:r>
      <w:proofErr w:type="spellEnd"/>
      <w:r w:rsidRPr="004E72B3">
        <w:rPr>
          <w:rFonts w:ascii="Arial" w:hAnsi="Arial" w:cs="Arial"/>
          <w:sz w:val="20"/>
          <w:lang w:val="en-GB"/>
        </w:rPr>
        <w:t>%) in whole rock/glass analyses from Mt. Takahe (blue circles) and Mt. Erebus (orange squares).</w:t>
      </w:r>
      <w:r w:rsidRPr="004E72B3">
        <w:rPr>
          <w:rFonts w:ascii="Arial" w:hAnsi="Arial" w:cs="Arial"/>
          <w:b/>
          <w:bCs/>
          <w:sz w:val="20"/>
          <w:lang w:val="en-GB"/>
        </w:rPr>
        <w:t xml:space="preserve"> </w:t>
      </w:r>
      <w:r w:rsidRPr="004E72B3">
        <w:rPr>
          <w:rFonts w:ascii="Arial" w:hAnsi="Arial" w:cs="Arial"/>
          <w:sz w:val="20"/>
          <w:lang w:val="en-GB"/>
        </w:rPr>
        <w:t>Solid and dashed lines represent the means and standard deviations of the datasets, respectively. Compositional data for Mt. Takahe are semi-quantitative, measured by energy dispersive X-ray analysis, and therefore their reliability is uncertain.</w:t>
      </w:r>
    </w:p>
    <w:p w14:paraId="74DC0565" w14:textId="37C7F5FE" w:rsidR="008A30A8" w:rsidRDefault="008A30A8" w:rsidP="008A6A90">
      <w:pPr>
        <w:rPr>
          <w:rFonts w:ascii="Arial" w:hAnsi="Arial" w:cs="Arial"/>
          <w:sz w:val="20"/>
          <w:lang w:val="en-GB"/>
        </w:rPr>
      </w:pPr>
    </w:p>
    <w:p w14:paraId="0D34E652" w14:textId="4174917C" w:rsidR="008A30A8" w:rsidRDefault="008A30A8" w:rsidP="008A6A90">
      <w:pPr>
        <w:rPr>
          <w:rFonts w:ascii="Arial" w:hAnsi="Arial" w:cs="Arial"/>
          <w:sz w:val="20"/>
          <w:lang w:val="en-GB"/>
        </w:rPr>
      </w:pPr>
    </w:p>
    <w:p w14:paraId="2FFE16A4" w14:textId="41B76E31" w:rsidR="008A30A8" w:rsidRDefault="008A30A8" w:rsidP="008A6A90">
      <w:pPr>
        <w:rPr>
          <w:rFonts w:ascii="Arial" w:hAnsi="Arial" w:cs="Arial"/>
          <w:sz w:val="20"/>
          <w:lang w:val="en-GB"/>
        </w:rPr>
      </w:pPr>
    </w:p>
    <w:p w14:paraId="350B14C2" w14:textId="052830D8" w:rsidR="008A30A8" w:rsidRDefault="008A30A8" w:rsidP="008A6A90">
      <w:pPr>
        <w:rPr>
          <w:rFonts w:ascii="Arial" w:hAnsi="Arial" w:cs="Arial"/>
          <w:sz w:val="20"/>
          <w:lang w:val="en-GB"/>
        </w:rPr>
      </w:pPr>
    </w:p>
    <w:p w14:paraId="71E68431" w14:textId="336A2EB5" w:rsidR="008A30A8" w:rsidRDefault="008A30A8" w:rsidP="008A6A90">
      <w:pPr>
        <w:rPr>
          <w:rFonts w:ascii="Arial" w:hAnsi="Arial" w:cs="Arial"/>
          <w:sz w:val="20"/>
          <w:lang w:val="en-GB"/>
        </w:rPr>
      </w:pPr>
    </w:p>
    <w:p w14:paraId="0B8EA69B" w14:textId="7A9A3B68" w:rsidR="008A30A8" w:rsidRDefault="008A30A8" w:rsidP="008A6A90">
      <w:pPr>
        <w:rPr>
          <w:rFonts w:ascii="Arial" w:hAnsi="Arial" w:cs="Arial"/>
          <w:sz w:val="20"/>
          <w:lang w:val="en-GB"/>
        </w:rPr>
      </w:pPr>
    </w:p>
    <w:p w14:paraId="5C15BD62" w14:textId="77777777" w:rsidR="008A30A8" w:rsidRDefault="008A30A8" w:rsidP="008A6A90">
      <w:pPr>
        <w:rPr>
          <w:rFonts w:ascii="Arial" w:hAnsi="Arial" w:cs="Arial"/>
          <w:sz w:val="20"/>
          <w:lang w:val="en-GB"/>
        </w:rPr>
      </w:pPr>
    </w:p>
    <w:p w14:paraId="3892B5BD" w14:textId="77777777" w:rsidR="008A30A8" w:rsidRDefault="008A30A8">
      <w:pPr>
        <w:rPr>
          <w:rFonts w:ascii="Arial" w:hAnsi="Arial" w:cs="Arial"/>
          <w:sz w:val="20"/>
          <w:lang w:val="en-GB"/>
        </w:rPr>
      </w:pPr>
    </w:p>
    <w:p w14:paraId="6F52E481" w14:textId="66F7EBC1" w:rsidR="008A30A8" w:rsidRPr="00835DC2" w:rsidRDefault="008A30A8" w:rsidP="008A30A8">
      <w:pPr>
        <w:rPr>
          <w:rFonts w:ascii="Arial" w:hAnsi="Arial" w:cs="Arial"/>
          <w:b/>
          <w:bCs/>
          <w:vanish/>
          <w:sz w:val="20"/>
          <w:lang w:val="en-GB"/>
        </w:rPr>
      </w:pPr>
      <w:bookmarkStart w:id="3" w:name="_Ref68593877"/>
      <w:bookmarkStart w:id="4" w:name="_Toc71713600"/>
      <w:bookmarkStart w:id="5" w:name="_Toc71995197"/>
      <w:r w:rsidRPr="00835DC2">
        <w:rPr>
          <w:rFonts w:ascii="Arial" w:hAnsi="Arial" w:cs="Arial"/>
          <w:b/>
          <w:bCs/>
          <w:noProof/>
          <w:sz w:val="20"/>
          <w:lang w:val="en-GB"/>
        </w:rPr>
        <w:lastRenderedPageBreak/>
        <w:drawing>
          <wp:inline distT="0" distB="0" distL="0" distR="0" wp14:anchorId="5A1528B1" wp14:editId="64699EDB">
            <wp:extent cx="5513189" cy="1602000"/>
            <wp:effectExtent l="0" t="0" r="0" b="0"/>
            <wp:docPr id="68" name="Picture 6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10;&#10;Description automatically generated with medium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3189" cy="1602000"/>
                    </a:xfrm>
                    <a:prstGeom prst="rect">
                      <a:avLst/>
                    </a:prstGeom>
                  </pic:spPr>
                </pic:pic>
              </a:graphicData>
            </a:graphic>
          </wp:inline>
        </w:drawing>
      </w:r>
      <w:r w:rsidRPr="00835DC2">
        <w:rPr>
          <w:rFonts w:ascii="Arial" w:hAnsi="Arial" w:cs="Arial"/>
          <w:b/>
          <w:bCs/>
          <w:sz w:val="20"/>
          <w:lang w:val="en-GB"/>
        </w:rPr>
        <w:t>Fig</w:t>
      </w:r>
      <w:r>
        <w:rPr>
          <w:rFonts w:ascii="Arial" w:hAnsi="Arial" w:cs="Arial"/>
          <w:b/>
          <w:bCs/>
          <w:sz w:val="20"/>
          <w:lang w:val="en-GB"/>
        </w:rPr>
        <w:t>.</w:t>
      </w:r>
      <w:r w:rsidRPr="00835DC2">
        <w:rPr>
          <w:rFonts w:ascii="Arial" w:hAnsi="Arial" w:cs="Arial"/>
          <w:b/>
          <w:bCs/>
          <w:sz w:val="20"/>
          <w:lang w:val="en-GB"/>
        </w:rPr>
        <w:t xml:space="preserve"> </w:t>
      </w:r>
      <w:r>
        <w:rPr>
          <w:rFonts w:ascii="Arial" w:hAnsi="Arial" w:cs="Arial"/>
          <w:b/>
          <w:bCs/>
          <w:sz w:val="20"/>
          <w:lang w:val="en-GB"/>
        </w:rPr>
        <w:t>S</w:t>
      </w:r>
      <w:bookmarkEnd w:id="3"/>
      <w:r>
        <w:rPr>
          <w:rFonts w:ascii="Arial" w:hAnsi="Arial" w:cs="Arial"/>
          <w:b/>
          <w:bCs/>
          <w:sz w:val="20"/>
          <w:lang w:val="en-GB"/>
        </w:rPr>
        <w:t>2</w:t>
      </w:r>
      <w:r w:rsidRPr="00835DC2">
        <w:rPr>
          <w:rFonts w:ascii="Arial" w:hAnsi="Arial" w:cs="Arial"/>
          <w:b/>
          <w:bCs/>
          <w:sz w:val="20"/>
          <w:lang w:val="en-GB"/>
        </w:rPr>
        <w:t>. Volatile metal enrichments in the WD ice core relative to crustal sources.</w:t>
      </w:r>
      <w:bookmarkEnd w:id="4"/>
      <w:bookmarkEnd w:id="5"/>
      <w:r>
        <w:rPr>
          <w:rFonts w:ascii="Arial" w:hAnsi="Arial" w:cs="Arial"/>
          <w:b/>
          <w:bCs/>
          <w:sz w:val="20"/>
          <w:lang w:val="en-GB"/>
        </w:rPr>
        <w:t xml:space="preserve"> </w:t>
      </w:r>
      <w:r>
        <w:rPr>
          <w:rFonts w:ascii="Arial" w:hAnsi="Arial" w:cs="Arial"/>
          <w:b/>
          <w:bCs/>
          <w:vanish/>
          <w:sz w:val="20"/>
          <w:lang w:val="en-GB"/>
        </w:rPr>
        <w:t xml:space="preserve"> </w:t>
      </w:r>
      <w:r w:rsidRPr="00835DC2">
        <w:rPr>
          <w:rFonts w:ascii="Arial" w:hAnsi="Arial" w:cs="Arial"/>
          <w:sz w:val="20"/>
          <w:lang w:val="en-GB"/>
        </w:rPr>
        <w:t xml:space="preserve">Enrichment factor calculation described in </w:t>
      </w:r>
      <w:r>
        <w:rPr>
          <w:rFonts w:ascii="Arial" w:hAnsi="Arial" w:cs="Arial"/>
          <w:b/>
          <w:bCs/>
          <w:sz w:val="20"/>
          <w:lang w:val="en-GB"/>
        </w:rPr>
        <w:t>Materials and methods</w:t>
      </w:r>
      <w:r w:rsidRPr="00835DC2">
        <w:rPr>
          <w:rFonts w:ascii="Arial" w:hAnsi="Arial" w:cs="Arial"/>
          <w:sz w:val="20"/>
          <w:lang w:val="en-GB"/>
        </w:rPr>
        <w:t xml:space="preserve">. Note the different y-axis scales and that </w:t>
      </w:r>
      <w:proofErr w:type="spellStart"/>
      <w:r w:rsidRPr="00835DC2">
        <w:rPr>
          <w:rFonts w:ascii="Arial" w:hAnsi="Arial" w:cs="Arial"/>
          <w:sz w:val="20"/>
          <w:lang w:val="en-GB"/>
        </w:rPr>
        <w:t>enrCd</w:t>
      </w:r>
      <w:proofErr w:type="spellEnd"/>
      <w:r w:rsidRPr="00835DC2">
        <w:rPr>
          <w:rFonts w:ascii="Arial" w:hAnsi="Arial" w:cs="Arial"/>
          <w:sz w:val="20"/>
          <w:lang w:val="en-GB"/>
        </w:rPr>
        <w:t xml:space="preserve"> values have been divided by 10. A large </w:t>
      </w:r>
      <w:proofErr w:type="spellStart"/>
      <w:r w:rsidRPr="00835DC2">
        <w:rPr>
          <w:rFonts w:ascii="Arial" w:hAnsi="Arial" w:cs="Arial"/>
          <w:sz w:val="20"/>
          <w:lang w:val="en-GB"/>
        </w:rPr>
        <w:t>enrCd</w:t>
      </w:r>
      <w:proofErr w:type="spellEnd"/>
      <w:r w:rsidRPr="00835DC2">
        <w:rPr>
          <w:rFonts w:ascii="Arial" w:hAnsi="Arial" w:cs="Arial"/>
          <w:sz w:val="20"/>
          <w:lang w:val="en-GB"/>
        </w:rPr>
        <w:t xml:space="preserve"> peak at the end of stage B is not shown fully to make the scale more readable – this peak reaches a maximum value of ~6500.</w:t>
      </w:r>
    </w:p>
    <w:p w14:paraId="34510EEC" w14:textId="2449A6DA" w:rsidR="008A6A90" w:rsidRDefault="008A6A90">
      <w:pPr>
        <w:rPr>
          <w:rFonts w:ascii="Arial" w:hAnsi="Arial" w:cs="Arial"/>
          <w:sz w:val="20"/>
          <w:lang w:val="en-GB"/>
        </w:rPr>
      </w:pPr>
      <w:r>
        <w:rPr>
          <w:rFonts w:ascii="Arial" w:hAnsi="Arial" w:cs="Arial"/>
          <w:sz w:val="20"/>
          <w:lang w:val="en-GB"/>
        </w:rPr>
        <w:br w:type="page"/>
      </w:r>
    </w:p>
    <w:p w14:paraId="419317AB" w14:textId="67A1FE2F" w:rsidR="009A5287" w:rsidRPr="000E3634" w:rsidRDefault="000E3634" w:rsidP="00B9440A">
      <w:pPr>
        <w:pStyle w:val="SMcaption"/>
        <w:rPr>
          <w:rFonts w:ascii="Arial" w:hAnsi="Arial" w:cs="Arial"/>
          <w:sz w:val="20"/>
        </w:rPr>
      </w:pPr>
      <w:bookmarkStart w:id="6" w:name="_Ref76301918"/>
      <w:r>
        <w:rPr>
          <w:noProof/>
        </w:rPr>
        <w:lastRenderedPageBreak/>
        <w:drawing>
          <wp:anchor distT="180340" distB="180340" distL="114300" distR="114300" simplePos="0" relativeHeight="251659264" behindDoc="0" locked="0" layoutInCell="1" allowOverlap="1" wp14:anchorId="48AA9CB9" wp14:editId="52FB4587">
            <wp:simplePos x="0" y="0"/>
            <wp:positionH relativeFrom="column">
              <wp:posOffset>4445</wp:posOffset>
            </wp:positionH>
            <wp:positionV relativeFrom="paragraph">
              <wp:posOffset>0</wp:posOffset>
            </wp:positionV>
            <wp:extent cx="5070475" cy="6212205"/>
            <wp:effectExtent l="0" t="0" r="0" b="0"/>
            <wp:wrapTopAndBottom/>
            <wp:docPr id="105" name="Picture 10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Timeline&#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70475" cy="62122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0"/>
          <w:lang w:val="en-GB"/>
        </w:rPr>
        <w:t>F</w:t>
      </w:r>
      <w:r w:rsidRPr="000E3634">
        <w:rPr>
          <w:rFonts w:ascii="Arial" w:hAnsi="Arial" w:cs="Arial"/>
          <w:b/>
          <w:bCs/>
          <w:sz w:val="20"/>
          <w:lang w:val="en-GB"/>
        </w:rPr>
        <w:t>i</w:t>
      </w:r>
      <w:r>
        <w:rPr>
          <w:rFonts w:ascii="Arial" w:hAnsi="Arial" w:cs="Arial"/>
          <w:b/>
          <w:bCs/>
          <w:sz w:val="20"/>
          <w:lang w:val="en-GB"/>
        </w:rPr>
        <w:t>g</w:t>
      </w:r>
      <w:r w:rsidR="00215182">
        <w:rPr>
          <w:rFonts w:ascii="Arial" w:hAnsi="Arial" w:cs="Arial"/>
          <w:b/>
          <w:bCs/>
          <w:sz w:val="20"/>
          <w:lang w:val="en-GB"/>
        </w:rPr>
        <w:t>.</w:t>
      </w:r>
      <w:r w:rsidRPr="000E3634">
        <w:rPr>
          <w:rFonts w:ascii="Arial" w:hAnsi="Arial" w:cs="Arial"/>
          <w:b/>
          <w:bCs/>
          <w:sz w:val="20"/>
          <w:lang w:val="en-GB"/>
        </w:rPr>
        <w:t xml:space="preserve"> </w:t>
      </w:r>
      <w:r>
        <w:rPr>
          <w:rFonts w:ascii="Arial" w:hAnsi="Arial" w:cs="Arial"/>
          <w:b/>
          <w:bCs/>
          <w:sz w:val="20"/>
          <w:lang w:val="en-GB"/>
        </w:rPr>
        <w:t>S</w:t>
      </w:r>
      <w:bookmarkEnd w:id="6"/>
      <w:r w:rsidR="008A30A8">
        <w:rPr>
          <w:rFonts w:ascii="Arial" w:hAnsi="Arial" w:cs="Arial"/>
          <w:b/>
          <w:bCs/>
          <w:sz w:val="20"/>
          <w:lang w:val="en-GB"/>
        </w:rPr>
        <w:t>3</w:t>
      </w:r>
      <w:r w:rsidRPr="000E3634">
        <w:rPr>
          <w:rFonts w:ascii="Arial" w:hAnsi="Arial" w:cs="Arial"/>
          <w:b/>
          <w:bCs/>
          <w:sz w:val="20"/>
          <w:lang w:val="en-GB"/>
        </w:rPr>
        <w:t>. Changes in sulphur (a), chlorine and volatile metal (b-e) concentrations in the WAIS Divide ice core during the 17.7 ka Mt. Takahe event.</w:t>
      </w:r>
      <w:r>
        <w:rPr>
          <w:rFonts w:ascii="Arial" w:hAnsi="Arial" w:cs="Arial"/>
          <w:sz w:val="20"/>
        </w:rPr>
        <w:t xml:space="preserve"> </w:t>
      </w:r>
      <w:r w:rsidRPr="000E3634">
        <w:rPr>
          <w:rFonts w:ascii="Arial" w:hAnsi="Arial" w:cs="Arial"/>
          <w:sz w:val="20"/>
          <w:lang w:val="en-GB"/>
        </w:rPr>
        <w:t>‘</w:t>
      </w:r>
      <w:proofErr w:type="spellStart"/>
      <w:r w:rsidRPr="000E3634">
        <w:rPr>
          <w:rFonts w:ascii="Arial" w:hAnsi="Arial" w:cs="Arial"/>
          <w:sz w:val="20"/>
          <w:lang w:val="en-GB"/>
        </w:rPr>
        <w:t>nbgCl</w:t>
      </w:r>
      <w:proofErr w:type="spellEnd"/>
      <w:r w:rsidRPr="000E3634">
        <w:rPr>
          <w:rFonts w:ascii="Arial" w:hAnsi="Arial" w:cs="Arial"/>
          <w:sz w:val="20"/>
          <w:lang w:val="en-GB"/>
        </w:rPr>
        <w:t>’ (non-background chlorine) is calculated by subtracting a consistent background Cl concentration of 94 ppm from measurements in</w:t>
      </w:r>
      <w:r w:rsidR="00A912B5">
        <w:rPr>
          <w:rFonts w:ascii="Arial" w:hAnsi="Arial" w:cs="Arial"/>
          <w:sz w:val="20"/>
          <w:lang w:val="en-GB"/>
        </w:rPr>
        <w:t xml:space="preserve"> ref.</w:t>
      </w:r>
      <w:r w:rsidRPr="000E3634">
        <w:rPr>
          <w:rFonts w:ascii="Arial" w:hAnsi="Arial" w:cs="Arial"/>
          <w:sz w:val="20"/>
          <w:lang w:val="en-GB"/>
        </w:rPr>
        <w:fldChar w:fldCharType="begin"/>
      </w:r>
      <w:r w:rsidR="00A912B5">
        <w:rPr>
          <w:rFonts w:ascii="Arial" w:hAnsi="Arial" w:cs="Arial"/>
          <w:sz w:val="20"/>
          <w:lang w:val="en-GB"/>
        </w:rPr>
        <w:instrText xml:space="preserve"> ADDIN ZOTERO_ITEM CSL_CITATION {"citationID":"A2m9OFGP","properties":{"formattedCitation":"\\super 1\\nosupersub{}","plainCitation":"1","noteIndex":0},"citationItems":[{"id":2806,"uris":["http://zotero.org/users/2709798/items/KXALEXAX"],"uri":["http://zotero.org/users/2709798/items/KXALEXAX"],"itemData":{"id":2806,"type":"article-journal","abstract":"Glacial-state greenhouse gas concentrations and Southern Hemisphere climate conditions persisted until </w:instrText>
      </w:r>
      <w:r w:rsidR="00A912B5">
        <w:rPr>
          <w:rFonts w:ascii="Cambria Math" w:hAnsi="Cambria Math" w:cs="Cambria Math"/>
          <w:sz w:val="20"/>
          <w:lang w:val="en-GB"/>
        </w:rPr>
        <w:instrText>∼</w:instrText>
      </w:r>
      <w:r w:rsidR="00A912B5">
        <w:rPr>
          <w:rFonts w:ascii="Arial" w:hAnsi="Arial" w:cs="Arial"/>
          <w:sz w:val="20"/>
          <w:lang w:val="en-GB"/>
        </w:rPr>
        <w:instrText xml:space="preserve">17.7 ka, when a nearly synchronous acceleration in deglaciation was recorded in paleoclimate proxies in large parts of the Southern Hemisphere, with many changes ascribed to a sudden poleward shift in the Southern Hemisphere westerlies and subsequent climate impacts. We used high-resolution chemical measurements in the West Antarctic Ice Sheet Divide, Byrd, and other ice cores to document a unique, </w:instrText>
      </w:r>
      <w:r w:rsidR="00A912B5">
        <w:rPr>
          <w:rFonts w:ascii="Cambria Math" w:hAnsi="Cambria Math" w:cs="Cambria Math"/>
          <w:sz w:val="20"/>
          <w:lang w:val="en-GB"/>
        </w:rPr>
        <w:instrText>∼</w:instrText>
      </w:r>
      <w:r w:rsidR="00A912B5">
        <w:rPr>
          <w:rFonts w:ascii="Arial" w:hAnsi="Arial" w:cs="Arial"/>
          <w:sz w:val="20"/>
          <w:lang w:val="en-GB"/>
        </w:rPr>
        <w:instrText xml:space="preserve">192-y series of halogen-rich volcanic eruptions exactly at the start of accelerated deglaciation, with tephra identifying the nearby Mount Takahe volcano as the source. Extensive fallout from these massive eruptions has been found &gt;2,800 km from Mount Takahe. Sulfur isotope anomalies and marked decreases in ice core bromine consistent with increased surface UV radiation indicate that the eruptions led to stratospheric ozone depletion. Rather than a highly improbable coincidence, circulation and climate changes extending from the Antarctic Peninsula to the subtropics—similar to those associated with modern stratospheric ozone depletion over Antarctica—plausibly link the Mount Takahe eruptions to the onset of accelerated Southern Hemisphere deglaciation </w:instrText>
      </w:r>
      <w:r w:rsidR="00A912B5">
        <w:rPr>
          <w:rFonts w:ascii="Cambria Math" w:hAnsi="Cambria Math" w:cs="Cambria Math"/>
          <w:sz w:val="20"/>
          <w:lang w:val="en-GB"/>
        </w:rPr>
        <w:instrText>∼</w:instrText>
      </w:r>
      <w:r w:rsidR="00A912B5">
        <w:rPr>
          <w:rFonts w:ascii="Arial" w:hAnsi="Arial" w:cs="Arial"/>
          <w:sz w:val="20"/>
          <w:lang w:val="en-GB"/>
        </w:rPr>
        <w:instrText xml:space="preserve">17.7 ka.","container-title":"Proceedings of the National Academy of Sciences","DOI":"10.1073/pnas.1705595114","ISSN":"0027-8424, 1091-6490","issue":"38","journalAbbreviation":"PNAS","language":"en","note":"PMID: 28874529","page":"10035-10040","source":"www.pnas.org","title":"Synchronous volcanic eruptions and abrupt climate change </w:instrText>
      </w:r>
      <w:r w:rsidR="00A912B5">
        <w:rPr>
          <w:rFonts w:ascii="Cambria Math" w:hAnsi="Cambria Math" w:cs="Cambria Math"/>
          <w:sz w:val="20"/>
          <w:lang w:val="en-GB"/>
        </w:rPr>
        <w:instrText>∼</w:instrText>
      </w:r>
      <w:r w:rsidR="00A912B5">
        <w:rPr>
          <w:rFonts w:ascii="Arial" w:hAnsi="Arial" w:cs="Arial"/>
          <w:sz w:val="20"/>
          <w:lang w:val="en-GB"/>
        </w:rPr>
        <w:instrText xml:space="preserve">17.7 ka plausibly linked by stratospheric ozone depletion","volume":"114","author":[{"family":"McConnell","given":"Joseph R."},{"family":"Burke","given":"Andrea"},{"family":"Dunbar","given":"Nelia W."},{"family":"Köhler","given":"Peter"},{"family":"Thomas","given":"Jennie L."},{"family":"Arienzo","given":"Monica M."},{"family":"Chellman","given":"Nathan J."},{"family":"Maselli","given":"Olivia J."},{"family":"Sigl","given":"Michael"},{"family":"Adkins","given":"Jess F."},{"family":"Baggenstos","given":"Daniel"},{"family":"Burkhart","given":"John F."},{"family":"Brook","given":"Edward J."},{"family":"Buizert","given":"Christo"},{"family":"Cole-Dai","given":"Jihong"},{"family":"Fudge","given":"T. J."},{"family":"Knorr","given":"Gregor"},{"family":"Graf","given":"Hans-F."},{"family":"Grieman","given":"Mackenzie M."},{"family":"Iverson","given":"Nels"},{"family":"McGwire","given":"Kenneth C."},{"family":"Mulvaney","given":"Robert"},{"family":"Paris","given":"Guillaume"},{"family":"Rhodes","given":"Rachael H."},{"family":"Saltzman","given":"Eric S."},{"family":"Severinghaus","given":"Jeffrey P."},{"family":"Steffensen","given":"Jørgen Peder"},{"family":"Taylor","given":"Kendrick C."},{"family":"Winckler","given":"Gisela"}],"issued":{"date-parts":[["2017",9,19]]}}}],"schema":"https://github.com/citation-style-language/schema/raw/master/csl-citation.json"} </w:instrText>
      </w:r>
      <w:r w:rsidRPr="000E3634">
        <w:rPr>
          <w:rFonts w:ascii="Arial" w:hAnsi="Arial" w:cs="Arial"/>
          <w:sz w:val="20"/>
          <w:lang w:val="en-GB"/>
        </w:rPr>
        <w:fldChar w:fldCharType="separate"/>
      </w:r>
      <w:r w:rsidR="00A912B5" w:rsidRPr="00A912B5">
        <w:rPr>
          <w:rFonts w:ascii="Arial" w:hAnsi="Arial" w:cs="Arial"/>
          <w:sz w:val="20"/>
          <w:vertAlign w:val="superscript"/>
        </w:rPr>
        <w:t>1</w:t>
      </w:r>
      <w:r w:rsidRPr="000E3634">
        <w:rPr>
          <w:rFonts w:ascii="Arial" w:hAnsi="Arial" w:cs="Arial"/>
          <w:sz w:val="20"/>
        </w:rPr>
        <w:fldChar w:fldCharType="end"/>
      </w:r>
      <w:r w:rsidRPr="000E3634">
        <w:rPr>
          <w:rFonts w:ascii="Arial" w:hAnsi="Arial" w:cs="Arial"/>
          <w:sz w:val="20"/>
          <w:lang w:val="en-GB"/>
        </w:rPr>
        <w:t>. ‘</w:t>
      </w:r>
      <w:proofErr w:type="spellStart"/>
      <w:r w:rsidRPr="000E3634">
        <w:rPr>
          <w:rFonts w:ascii="Arial" w:hAnsi="Arial" w:cs="Arial"/>
          <w:sz w:val="20"/>
          <w:lang w:val="en-GB"/>
        </w:rPr>
        <w:t>nssS</w:t>
      </w:r>
      <w:proofErr w:type="spellEnd"/>
      <w:r w:rsidRPr="000E3634">
        <w:rPr>
          <w:rFonts w:ascii="Arial" w:hAnsi="Arial" w:cs="Arial"/>
          <w:sz w:val="20"/>
          <w:lang w:val="en-GB"/>
        </w:rPr>
        <w:t xml:space="preserve">’ = non-sea-salt sulphur. Here, the eruption sequence has been divided into 3 time periods (A-C) which show self-consistent chemical </w:t>
      </w:r>
      <w:proofErr w:type="gramStart"/>
      <w:r w:rsidRPr="000E3634">
        <w:rPr>
          <w:rFonts w:ascii="Arial" w:hAnsi="Arial" w:cs="Arial"/>
          <w:sz w:val="20"/>
          <w:lang w:val="en-GB"/>
        </w:rPr>
        <w:t>features, and</w:t>
      </w:r>
      <w:proofErr w:type="gramEnd"/>
      <w:r w:rsidRPr="000E3634">
        <w:rPr>
          <w:rFonts w:ascii="Arial" w:hAnsi="Arial" w:cs="Arial"/>
          <w:sz w:val="20"/>
          <w:lang w:val="en-GB"/>
        </w:rPr>
        <w:t xml:space="preserve"> will be referred to in subsequent figures. Yellow regions in </w:t>
      </w:r>
      <w:r w:rsidRPr="000E3634">
        <w:rPr>
          <w:rFonts w:ascii="Arial" w:hAnsi="Arial" w:cs="Arial"/>
          <w:b/>
          <w:bCs/>
          <w:sz w:val="20"/>
          <w:lang w:val="en-GB"/>
        </w:rPr>
        <w:t>a</w:t>
      </w:r>
      <w:r w:rsidRPr="000E3634">
        <w:rPr>
          <w:rFonts w:ascii="Arial" w:hAnsi="Arial" w:cs="Arial"/>
          <w:sz w:val="20"/>
          <w:lang w:val="en-GB"/>
        </w:rPr>
        <w:t xml:space="preserve"> correspond to larger S peaks that are not associated with a large Cl peak. Average ratios and standard deviations (shown at the top of each figure) are calculated separately for different sections of the eruptions for </w:t>
      </w:r>
      <w:proofErr w:type="spellStart"/>
      <w:r w:rsidRPr="000E3634">
        <w:rPr>
          <w:rFonts w:ascii="Arial" w:hAnsi="Arial" w:cs="Arial"/>
          <w:sz w:val="20"/>
          <w:lang w:val="en-GB"/>
        </w:rPr>
        <w:t>nbgCl</w:t>
      </w:r>
      <w:proofErr w:type="spellEnd"/>
      <w:r w:rsidRPr="000E3634">
        <w:rPr>
          <w:rFonts w:ascii="Arial" w:hAnsi="Arial" w:cs="Arial"/>
          <w:sz w:val="20"/>
          <w:lang w:val="en-GB"/>
        </w:rPr>
        <w:t xml:space="preserve"> values &gt;150 ng g</w:t>
      </w:r>
      <w:r w:rsidRPr="000E3634">
        <w:rPr>
          <w:rFonts w:ascii="Arial" w:hAnsi="Arial" w:cs="Arial"/>
          <w:sz w:val="20"/>
          <w:vertAlign w:val="superscript"/>
          <w:lang w:val="en-GB"/>
        </w:rPr>
        <w:t>-1</w:t>
      </w:r>
      <w:r w:rsidRPr="000E3634">
        <w:rPr>
          <w:rFonts w:ascii="Arial" w:hAnsi="Arial" w:cs="Arial"/>
          <w:sz w:val="20"/>
          <w:lang w:val="en-GB"/>
        </w:rPr>
        <w:t xml:space="preserve"> only (black circles</w:t>
      </w:r>
      <w:proofErr w:type="gramStart"/>
      <w:r w:rsidRPr="000E3634">
        <w:rPr>
          <w:rFonts w:ascii="Arial" w:hAnsi="Arial" w:cs="Arial"/>
          <w:sz w:val="20"/>
          <w:lang w:val="en-GB"/>
        </w:rPr>
        <w:t>), and</w:t>
      </w:r>
      <w:proofErr w:type="gramEnd"/>
      <w:r w:rsidRPr="000E3634">
        <w:rPr>
          <w:rFonts w:ascii="Arial" w:hAnsi="Arial" w:cs="Arial"/>
          <w:sz w:val="20"/>
          <w:lang w:val="en-GB"/>
        </w:rPr>
        <w:t xml:space="preserve"> are not shown for stage C as there are too few data points &gt;150 ng g</w:t>
      </w:r>
      <w:r w:rsidRPr="000E3634">
        <w:rPr>
          <w:rFonts w:ascii="Arial" w:hAnsi="Arial" w:cs="Arial"/>
          <w:sz w:val="20"/>
          <w:vertAlign w:val="superscript"/>
          <w:lang w:val="en-GB"/>
        </w:rPr>
        <w:t>-1</w:t>
      </w:r>
      <w:r w:rsidRPr="000E3634">
        <w:rPr>
          <w:rFonts w:ascii="Arial" w:hAnsi="Arial" w:cs="Arial"/>
          <w:sz w:val="20"/>
          <w:lang w:val="en-GB"/>
        </w:rPr>
        <w:t xml:space="preserve">. To reduce the impact of 'edge effects' where slight offsets between Cl and trace metal concentrations lead to artificially high/low ratios, only individual ratios above for </w:t>
      </w:r>
      <w:proofErr w:type="spellStart"/>
      <w:r w:rsidRPr="000E3634">
        <w:rPr>
          <w:rFonts w:ascii="Arial" w:hAnsi="Arial" w:cs="Arial"/>
          <w:sz w:val="20"/>
          <w:lang w:val="en-GB"/>
        </w:rPr>
        <w:t>nbgCl</w:t>
      </w:r>
      <w:proofErr w:type="spellEnd"/>
      <w:r w:rsidRPr="000E3634">
        <w:rPr>
          <w:rFonts w:ascii="Arial" w:hAnsi="Arial" w:cs="Arial"/>
          <w:sz w:val="20"/>
          <w:lang w:val="en-GB"/>
        </w:rPr>
        <w:t xml:space="preserve"> &gt;40 ng g</w:t>
      </w:r>
      <w:r w:rsidRPr="000E3634">
        <w:rPr>
          <w:rFonts w:ascii="Arial" w:hAnsi="Arial" w:cs="Arial"/>
          <w:sz w:val="20"/>
          <w:vertAlign w:val="superscript"/>
          <w:lang w:val="en-GB"/>
        </w:rPr>
        <w:t>-1</w:t>
      </w:r>
      <w:r w:rsidRPr="000E3634">
        <w:rPr>
          <w:rFonts w:ascii="Arial" w:hAnsi="Arial" w:cs="Arial"/>
          <w:sz w:val="20"/>
          <w:lang w:val="en-GB"/>
        </w:rPr>
        <w:t xml:space="preserve"> (grey circles) are shown.</w:t>
      </w:r>
    </w:p>
    <w:p w14:paraId="695F73DE" w14:textId="60148C5D" w:rsidR="00670299" w:rsidRPr="008A6A90" w:rsidRDefault="000E3634" w:rsidP="008A6A90">
      <w:pPr>
        <w:pStyle w:val="Caption"/>
        <w:rPr>
          <w:rFonts w:ascii="Arial" w:hAnsi="Arial" w:cs="Arial"/>
          <w:bCs w:val="0"/>
          <w:kern w:val="32"/>
        </w:rPr>
      </w:pPr>
      <w:r>
        <w:rPr>
          <w:noProof/>
        </w:rPr>
        <w:lastRenderedPageBreak/>
        <w:drawing>
          <wp:anchor distT="180340" distB="180340" distL="114300" distR="114300" simplePos="0" relativeHeight="251661312" behindDoc="0" locked="0" layoutInCell="1" allowOverlap="1" wp14:anchorId="5ACF8896" wp14:editId="0C6CC6B0">
            <wp:simplePos x="0" y="0"/>
            <wp:positionH relativeFrom="column">
              <wp:posOffset>1427</wp:posOffset>
            </wp:positionH>
            <wp:positionV relativeFrom="paragraph">
              <wp:posOffset>434</wp:posOffset>
            </wp:positionV>
            <wp:extent cx="5500800" cy="1688400"/>
            <wp:effectExtent l="0" t="0" r="0" b="1270"/>
            <wp:wrapTopAndBottom/>
            <wp:docPr id="63" name="Picture 6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00800" cy="1688400"/>
                    </a:xfrm>
                    <a:prstGeom prst="rect">
                      <a:avLst/>
                    </a:prstGeom>
                  </pic:spPr>
                </pic:pic>
              </a:graphicData>
            </a:graphic>
            <wp14:sizeRelH relativeFrom="margin">
              <wp14:pctWidth>0</wp14:pctWidth>
            </wp14:sizeRelH>
            <wp14:sizeRelV relativeFrom="margin">
              <wp14:pctHeight>0</wp14:pctHeight>
            </wp14:sizeRelV>
          </wp:anchor>
        </w:drawing>
      </w:r>
      <w:r w:rsidRPr="000E3634">
        <w:rPr>
          <w:rFonts w:ascii="Arial" w:hAnsi="Arial" w:cs="Arial"/>
          <w:bCs w:val="0"/>
          <w:kern w:val="32"/>
        </w:rPr>
        <w:t>Fig</w:t>
      </w:r>
      <w:r w:rsidR="00215182">
        <w:rPr>
          <w:rFonts w:ascii="Arial" w:hAnsi="Arial" w:cs="Arial"/>
          <w:bCs w:val="0"/>
          <w:kern w:val="32"/>
        </w:rPr>
        <w:t>.</w:t>
      </w:r>
      <w:r w:rsidRPr="000E3634">
        <w:rPr>
          <w:rFonts w:ascii="Arial" w:hAnsi="Arial" w:cs="Arial"/>
          <w:bCs w:val="0"/>
          <w:kern w:val="32"/>
        </w:rPr>
        <w:t xml:space="preserve"> S</w:t>
      </w:r>
      <w:r w:rsidR="008A30A8">
        <w:rPr>
          <w:rFonts w:ascii="Arial" w:hAnsi="Arial" w:cs="Arial"/>
          <w:bCs w:val="0"/>
          <w:kern w:val="32"/>
        </w:rPr>
        <w:t>4</w:t>
      </w:r>
      <w:r w:rsidRPr="000E3634">
        <w:rPr>
          <w:rFonts w:ascii="Arial" w:hAnsi="Arial" w:cs="Arial"/>
          <w:bCs w:val="0"/>
          <w:kern w:val="32"/>
        </w:rPr>
        <w:t>. Discrete measurements of Cl and F concentrations in the WAIS Divide ice core during the 17.7 ka Mt. Takahe event.</w:t>
      </w:r>
      <w:r>
        <w:rPr>
          <w:rFonts w:ascii="Arial" w:hAnsi="Arial" w:cs="Arial"/>
          <w:bCs w:val="0"/>
          <w:kern w:val="32"/>
        </w:rPr>
        <w:t xml:space="preserve"> </w:t>
      </w:r>
      <w:r w:rsidRPr="000E3634">
        <w:rPr>
          <w:rFonts w:ascii="Arial" w:hAnsi="Arial" w:cs="Arial"/>
          <w:b w:val="0"/>
          <w:kern w:val="32"/>
        </w:rPr>
        <w:t xml:space="preserve">Some detail of the shape of the Cl peaks is lost due to a lower frequency of measurements (per time/depth). Mean and standard deviation values are shown for different stages of the eruption at the top of the figure. Stages are positioned approximately by matching the shapes of Cl peaks from </w:t>
      </w:r>
      <w:r w:rsidRPr="008A6A90">
        <w:rPr>
          <w:rFonts w:ascii="Arial" w:hAnsi="Arial" w:cs="Arial"/>
          <w:bCs w:val="0"/>
          <w:kern w:val="32"/>
        </w:rPr>
        <w:fldChar w:fldCharType="begin"/>
      </w:r>
      <w:r w:rsidRPr="008A6A90">
        <w:rPr>
          <w:rFonts w:ascii="Arial" w:hAnsi="Arial" w:cs="Arial"/>
          <w:bCs w:val="0"/>
          <w:kern w:val="32"/>
        </w:rPr>
        <w:instrText xml:space="preserve"> REF _Ref76301918 \h  \* MERGEFORMAT </w:instrText>
      </w:r>
      <w:r w:rsidRPr="008A6A90">
        <w:rPr>
          <w:rFonts w:ascii="Arial" w:hAnsi="Arial" w:cs="Arial"/>
          <w:bCs w:val="0"/>
          <w:kern w:val="32"/>
        </w:rPr>
      </w:r>
      <w:r w:rsidRPr="008A6A90">
        <w:rPr>
          <w:rFonts w:ascii="Arial" w:hAnsi="Arial" w:cs="Arial"/>
          <w:bCs w:val="0"/>
          <w:kern w:val="32"/>
        </w:rPr>
        <w:fldChar w:fldCharType="separate"/>
      </w:r>
      <w:r w:rsidR="008A6A90" w:rsidRPr="008A6A90">
        <w:rPr>
          <w:rFonts w:ascii="Arial" w:hAnsi="Arial" w:cs="Arial"/>
          <w:bCs w:val="0"/>
          <w:lang w:val="en-GB"/>
        </w:rPr>
        <w:t>Fig S2</w:t>
      </w:r>
      <w:r w:rsidRPr="008A6A90">
        <w:rPr>
          <w:rFonts w:ascii="Arial" w:hAnsi="Arial" w:cs="Arial"/>
          <w:bCs w:val="0"/>
          <w:kern w:val="32"/>
        </w:rPr>
        <w:fldChar w:fldCharType="end"/>
      </w:r>
      <w:r w:rsidRPr="008A6A90">
        <w:rPr>
          <w:rFonts w:ascii="Arial" w:hAnsi="Arial" w:cs="Arial"/>
          <w:bCs w:val="0"/>
          <w:kern w:val="32"/>
        </w:rPr>
        <w:t>a</w:t>
      </w:r>
      <w:r w:rsidRPr="000E3634">
        <w:rPr>
          <w:rFonts w:ascii="Arial" w:hAnsi="Arial" w:cs="Arial"/>
          <w:b w:val="0"/>
          <w:kern w:val="32"/>
        </w:rPr>
        <w:t>. Due to variability within stage B, two different ratios have been calculated.</w:t>
      </w:r>
    </w:p>
    <w:p w14:paraId="54E61BE0" w14:textId="77777777" w:rsidR="000E3634" w:rsidRDefault="000E3634">
      <w:pPr>
        <w:rPr>
          <w:rFonts w:ascii="Arial" w:hAnsi="Arial" w:cs="Arial"/>
          <w:sz w:val="20"/>
        </w:rPr>
      </w:pPr>
      <w:r>
        <w:rPr>
          <w:rFonts w:ascii="Arial" w:hAnsi="Arial" w:cs="Arial"/>
          <w:sz w:val="20"/>
        </w:rPr>
        <w:br w:type="page"/>
      </w:r>
    </w:p>
    <w:p w14:paraId="0B8753C6" w14:textId="01C2C84B" w:rsidR="004E72B3" w:rsidRPr="004E72B3" w:rsidRDefault="00835DC2" w:rsidP="004E72B3">
      <w:pPr>
        <w:rPr>
          <w:rFonts w:ascii="Arial" w:hAnsi="Arial" w:cs="Arial"/>
          <w:b/>
          <w:bCs/>
          <w:vanish/>
          <w:sz w:val="20"/>
          <w:lang w:val="en-GB"/>
        </w:rPr>
      </w:pPr>
      <w:bookmarkStart w:id="7" w:name="_Ref68524064"/>
      <w:bookmarkStart w:id="8" w:name="_Toc71713598"/>
      <w:bookmarkStart w:id="9" w:name="_Toc71995195"/>
      <w:bookmarkStart w:id="10" w:name="_Ref67575180"/>
      <w:bookmarkStart w:id="11" w:name="_Ref68183637"/>
      <w:r>
        <w:rPr>
          <w:noProof/>
        </w:rPr>
        <w:lastRenderedPageBreak/>
        <w:drawing>
          <wp:anchor distT="180340" distB="180340" distL="114300" distR="114300" simplePos="0" relativeHeight="251665408" behindDoc="0" locked="0" layoutInCell="1" allowOverlap="1" wp14:anchorId="0EAF7772" wp14:editId="42D2B104">
            <wp:simplePos x="0" y="0"/>
            <wp:positionH relativeFrom="column">
              <wp:posOffset>0</wp:posOffset>
            </wp:positionH>
            <wp:positionV relativeFrom="paragraph">
              <wp:posOffset>91037</wp:posOffset>
            </wp:positionV>
            <wp:extent cx="5522595" cy="4692650"/>
            <wp:effectExtent l="0" t="0" r="1905" b="6350"/>
            <wp:wrapTopAndBottom/>
            <wp:docPr id="66" name="Picture 66"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22595" cy="4692650"/>
                    </a:xfrm>
                    <a:prstGeom prst="rect">
                      <a:avLst/>
                    </a:prstGeom>
                  </pic:spPr>
                </pic:pic>
              </a:graphicData>
            </a:graphic>
            <wp14:sizeRelH relativeFrom="margin">
              <wp14:pctWidth>0</wp14:pctWidth>
            </wp14:sizeRelH>
            <wp14:sizeRelV relativeFrom="margin">
              <wp14:pctHeight>0</wp14:pctHeight>
            </wp14:sizeRelV>
          </wp:anchor>
        </w:drawing>
      </w:r>
      <w:r w:rsidR="004E72B3" w:rsidRPr="004E72B3">
        <w:rPr>
          <w:rFonts w:ascii="Arial" w:hAnsi="Arial" w:cs="Arial"/>
          <w:b/>
          <w:bCs/>
          <w:sz w:val="20"/>
          <w:lang w:val="en-GB"/>
        </w:rPr>
        <w:t>Fig</w:t>
      </w:r>
      <w:r w:rsidR="00215182">
        <w:rPr>
          <w:rFonts w:ascii="Arial" w:hAnsi="Arial" w:cs="Arial"/>
          <w:b/>
          <w:bCs/>
          <w:sz w:val="20"/>
          <w:lang w:val="en-GB"/>
        </w:rPr>
        <w:t>.</w:t>
      </w:r>
      <w:r w:rsidR="004E72B3" w:rsidRPr="004E72B3">
        <w:rPr>
          <w:rFonts w:ascii="Arial" w:hAnsi="Arial" w:cs="Arial"/>
          <w:b/>
          <w:bCs/>
          <w:sz w:val="20"/>
          <w:lang w:val="en-GB"/>
        </w:rPr>
        <w:t xml:space="preserve"> </w:t>
      </w:r>
      <w:r w:rsidR="004E72B3" w:rsidRPr="00835DC2">
        <w:rPr>
          <w:rFonts w:ascii="Arial" w:hAnsi="Arial" w:cs="Arial"/>
          <w:b/>
          <w:bCs/>
          <w:sz w:val="20"/>
          <w:lang w:val="en-GB"/>
        </w:rPr>
        <w:t>S</w:t>
      </w:r>
      <w:bookmarkEnd w:id="7"/>
      <w:r w:rsidR="008A30A8">
        <w:rPr>
          <w:rFonts w:ascii="Arial" w:hAnsi="Arial" w:cs="Arial"/>
          <w:b/>
          <w:bCs/>
          <w:sz w:val="20"/>
          <w:lang w:val="en-GB"/>
        </w:rPr>
        <w:t>5</w:t>
      </w:r>
      <w:r w:rsidR="004E72B3" w:rsidRPr="004E72B3">
        <w:rPr>
          <w:rFonts w:ascii="Arial" w:hAnsi="Arial" w:cs="Arial"/>
          <w:b/>
          <w:bCs/>
          <w:sz w:val="20"/>
          <w:lang w:val="en-GB"/>
        </w:rPr>
        <w:t>. Metal-to-Cl ratios (as in</w:t>
      </w:r>
      <w:r>
        <w:rPr>
          <w:rFonts w:ascii="Arial" w:hAnsi="Arial" w:cs="Arial"/>
          <w:b/>
          <w:bCs/>
          <w:sz w:val="20"/>
          <w:lang w:val="en-GB"/>
        </w:rPr>
        <w:t xml:space="preserve"> Figure 2</w:t>
      </w:r>
      <w:r w:rsidR="004E72B3" w:rsidRPr="004E72B3">
        <w:rPr>
          <w:rFonts w:ascii="Arial" w:hAnsi="Arial" w:cs="Arial"/>
          <w:b/>
          <w:bCs/>
          <w:sz w:val="20"/>
          <w:lang w:val="en-GB"/>
        </w:rPr>
        <w:t>) during the 192-y Mt. Takahe eruption sequence, compared to metal-to-Cl ratios from a selection of other basaltic (</w:t>
      </w:r>
      <w:proofErr w:type="spellStart"/>
      <w:r w:rsidR="004E72B3" w:rsidRPr="004E72B3">
        <w:rPr>
          <w:rFonts w:ascii="Arial" w:hAnsi="Arial" w:cs="Arial"/>
          <w:b/>
          <w:bCs/>
          <w:sz w:val="20"/>
          <w:lang w:val="en-GB"/>
        </w:rPr>
        <w:t>Erta</w:t>
      </w:r>
      <w:proofErr w:type="spellEnd"/>
      <w:r w:rsidR="004E72B3" w:rsidRPr="004E72B3">
        <w:rPr>
          <w:rFonts w:ascii="Arial" w:hAnsi="Arial" w:cs="Arial"/>
          <w:b/>
          <w:bCs/>
          <w:sz w:val="20"/>
          <w:lang w:val="en-GB"/>
        </w:rPr>
        <w:t xml:space="preserve"> ‘Ale, </w:t>
      </w:r>
      <w:proofErr w:type="spellStart"/>
      <w:r w:rsidR="004E72B3" w:rsidRPr="004E72B3">
        <w:rPr>
          <w:rFonts w:ascii="Arial" w:hAnsi="Arial" w:cs="Arial"/>
          <w:b/>
          <w:bCs/>
          <w:sz w:val="20"/>
          <w:lang w:val="en-GB"/>
        </w:rPr>
        <w:t>Kīlauea</w:t>
      </w:r>
      <w:proofErr w:type="spellEnd"/>
      <w:r w:rsidR="004E72B3" w:rsidRPr="004E72B3">
        <w:rPr>
          <w:rFonts w:ascii="Arial" w:hAnsi="Arial" w:cs="Arial"/>
          <w:b/>
          <w:bCs/>
          <w:sz w:val="20"/>
          <w:lang w:val="en-GB"/>
        </w:rPr>
        <w:t>, Stromboli, Mt. Etna) and alkaline (Nyiragongo, Mt. Erebus) volcanoes.</w:t>
      </w:r>
      <w:bookmarkEnd w:id="8"/>
      <w:bookmarkEnd w:id="9"/>
      <w:r w:rsidR="004E72B3" w:rsidRPr="00835DC2">
        <w:rPr>
          <w:rFonts w:ascii="Arial" w:hAnsi="Arial" w:cs="Arial"/>
          <w:b/>
          <w:bCs/>
          <w:vanish/>
          <w:sz w:val="20"/>
          <w:lang w:val="en-GB"/>
        </w:rPr>
        <w:t xml:space="preserve"> </w:t>
      </w:r>
      <w:r w:rsidR="004E72B3" w:rsidRPr="004E72B3">
        <w:rPr>
          <w:rFonts w:ascii="Arial" w:hAnsi="Arial" w:cs="Arial"/>
          <w:sz w:val="20"/>
          <w:lang w:val="en-GB"/>
        </w:rPr>
        <w:t>Data sources are: Mt. Etna</w:t>
      </w:r>
      <w:r w:rsidR="004E72B3" w:rsidRPr="004E72B3">
        <w:rPr>
          <w:rFonts w:ascii="Arial" w:hAnsi="Arial" w:cs="Arial"/>
          <w:sz w:val="20"/>
          <w:lang w:val="en-GB"/>
        </w:rPr>
        <w:fldChar w:fldCharType="begin"/>
      </w:r>
      <w:r w:rsidRPr="00835DC2">
        <w:rPr>
          <w:rFonts w:ascii="Arial" w:hAnsi="Arial" w:cs="Arial"/>
          <w:sz w:val="20"/>
          <w:lang w:val="en-GB"/>
        </w:rPr>
        <w:instrText xml:space="preserve"> ADDIN ZOTERO_ITEM CSL_CITATION {"citationID":"2f03MAPP","properties":{"formattedCitation":"\\super 2\\nosupersub{}","plainCitation":"2","noteIndex":0},"citationItems":[{"id":1846,"uris":["http://zotero.org/users/2709798/items/AHDGZV6S"],"uri":["http://zotero.org/users/2709798/items/AHDGZV6S"],"itemData":{"id":1846,"type":"article-journal","abstract":"Summary This chapter contains sections titled: Introduction Materials and Methods Results Discussion Conclusions","collection-title":"Geophysical Monograph Series","container-title":"Volcanism and the Earth's Atmosphere","DOI":"10.1029/139GM03","ISSN":"9781118668542","source":"agupubs.onlinelibrary.wiley.com (Atypon)","title":"Degassing of Trace Volatile Metals During the 2001 Eruption of Etna","URL":"https://agupubs.onlinelibrary.wiley.com/doi/10.1029/139GM03","author":[{"family":"Aiuppa","given":"Alessandro"},{"family":"Dongarrà","given":"Gaetano"},{"family":"Valenza","given":"Mariano"},{"family":"Federico","given":"Cinzia"},{"family":"Pecoraino","given":"Giovannella"}],"issued":{"date-parts":[["2003"]]}}}],"schema":"https://github.com/citation-style-language/schema/raw/master/csl-citation.json"} </w:instrText>
      </w:r>
      <w:r w:rsidR="004E72B3" w:rsidRPr="004E72B3">
        <w:rPr>
          <w:rFonts w:ascii="Arial" w:hAnsi="Arial" w:cs="Arial"/>
          <w:sz w:val="20"/>
          <w:lang w:val="en-GB"/>
        </w:rPr>
        <w:fldChar w:fldCharType="separate"/>
      </w:r>
      <w:r w:rsidRPr="00835DC2">
        <w:rPr>
          <w:rFonts w:ascii="Arial" w:hAnsi="Arial" w:cs="Arial"/>
          <w:sz w:val="20"/>
          <w:vertAlign w:val="superscript"/>
        </w:rPr>
        <w:t>2</w:t>
      </w:r>
      <w:r w:rsidR="004E72B3" w:rsidRPr="004E72B3">
        <w:rPr>
          <w:rFonts w:ascii="Arial" w:hAnsi="Arial" w:cs="Arial"/>
          <w:sz w:val="20"/>
          <w:lang w:val="en-GB"/>
        </w:rPr>
        <w:fldChar w:fldCharType="end"/>
      </w:r>
      <w:r w:rsidR="004E72B3" w:rsidRPr="004E72B3">
        <w:rPr>
          <w:rFonts w:ascii="Arial" w:hAnsi="Arial" w:cs="Arial"/>
          <w:sz w:val="20"/>
          <w:lang w:val="en-GB"/>
        </w:rPr>
        <w:t>, Stromboli</w:t>
      </w:r>
      <w:r w:rsidR="004E72B3" w:rsidRPr="004E72B3">
        <w:rPr>
          <w:rFonts w:ascii="Arial" w:hAnsi="Arial" w:cs="Arial"/>
          <w:sz w:val="20"/>
          <w:lang w:val="en-GB"/>
        </w:rPr>
        <w:fldChar w:fldCharType="begin"/>
      </w:r>
      <w:r w:rsidRPr="00835DC2">
        <w:rPr>
          <w:rFonts w:ascii="Arial" w:hAnsi="Arial" w:cs="Arial"/>
          <w:sz w:val="20"/>
          <w:lang w:val="en-GB"/>
        </w:rPr>
        <w:instrText xml:space="preserve"> ADDIN ZOTERO_ITEM CSL_CITATION {"citationID":"iH78fq5S","properties":{"formattedCitation":"\\super 3\\nosupersub{}","plainCitation":"3","noteIndex":0},"citationItems":[{"id":1878,"uris":["http://zotero.org/users/2709798/items/NVA254AB"],"uri":["http://zotero.org/users/2709798/items/NVA254AB"],"itemData":{"id":1878,"type":"article-journal","abstract":"The discharge of acid gases and metals from Stromboli is determined from airborne and ground?based filter sampling of particulate matter in the volcanic plume, combined with COSPEC measurements of SO2 fluxes. Smaller particle sizes and high enrichment factors distinguish the most volatile elements (by order: S, Se, Br, Cl, Cd, Bi, In, As, Sb, Sn, F, Au, Pb, Cr, Cu) from those strictly (Fe, Mn, REE, Sc, Sr, Th, Ti, V) or mainly (Al, Ba, Ca, Co, K, Na, U) derived from volcanic ash. Time?averaged volatile fluxes show that Stromboli is a representative arc emittor, producing 1?2% of the global volcanic budget of sulfur, halogens and several trace metals, while 15?25% of volcanic emissions of Bi, Cd, Cs, Pb and Sn in southern Italy. Subaerial degassing of its S?Cl?rich shoshonitic magma over the last 2 ky of similar activity may have released as much copper and gold as is encountered in magma?derived high?sulfidation ore deposits.","container-title":"Geophysical Research Letters","DOI":"10.1029/1999GL008413","ISSN":"0094-8276","issue":"8","journalAbbreviation":"Geophysical Research Letters","page":"1207-1210","source":"agupubs.onlinelibrary.wiley.com (Atypon)","title":"Acid gas and metal emission rates during long</w:instrText>
      </w:r>
      <w:r w:rsidRPr="00835DC2">
        <w:rPr>
          <w:rFonts w:ascii="Cambria Math" w:hAnsi="Cambria Math" w:cs="Cambria Math"/>
          <w:sz w:val="20"/>
          <w:lang w:val="en-GB"/>
        </w:rPr>
        <w:instrText>‐</w:instrText>
      </w:r>
      <w:r w:rsidRPr="00835DC2">
        <w:rPr>
          <w:rFonts w:ascii="Arial" w:hAnsi="Arial" w:cs="Arial"/>
          <w:sz w:val="20"/>
          <w:lang w:val="en-GB"/>
        </w:rPr>
        <w:instrText xml:space="preserve">lived basalt degassing at Stromboli Volcano","volume":"27","author":[{"family":"Allard","given":"Patrick"},{"family":"Aiuppa","given":"Alessandro"},{"family":"Loyer","given":"Henri"},{"family":"Carrot","given":"Francine"},{"family":"Gaudry","given":"André"},{"family":"Pinte","given":"Guy"},{"family":"Michel","given":"Agnès"},{"family":"Dongarrà","given":"Gaetano"}],"issued":{"date-parts":[["2000",4,15]]}}}],"schema":"https://github.com/citation-style-language/schema/raw/master/csl-citation.json"} </w:instrText>
      </w:r>
      <w:r w:rsidR="004E72B3" w:rsidRPr="004E72B3">
        <w:rPr>
          <w:rFonts w:ascii="Arial" w:hAnsi="Arial" w:cs="Arial"/>
          <w:sz w:val="20"/>
          <w:lang w:val="en-GB"/>
        </w:rPr>
        <w:fldChar w:fldCharType="separate"/>
      </w:r>
      <w:r w:rsidRPr="00835DC2">
        <w:rPr>
          <w:rFonts w:ascii="Arial" w:hAnsi="Arial" w:cs="Arial"/>
          <w:sz w:val="20"/>
          <w:vertAlign w:val="superscript"/>
        </w:rPr>
        <w:t>3</w:t>
      </w:r>
      <w:r w:rsidR="004E72B3" w:rsidRPr="004E72B3">
        <w:rPr>
          <w:rFonts w:ascii="Arial" w:hAnsi="Arial" w:cs="Arial"/>
          <w:sz w:val="20"/>
          <w:lang w:val="en-GB"/>
        </w:rPr>
        <w:fldChar w:fldCharType="end"/>
      </w:r>
      <w:r w:rsidR="004E72B3" w:rsidRPr="004E72B3">
        <w:rPr>
          <w:rFonts w:ascii="Arial" w:hAnsi="Arial" w:cs="Arial"/>
          <w:sz w:val="20"/>
          <w:lang w:val="en-GB"/>
        </w:rPr>
        <w:t>, Kīlauea</w:t>
      </w:r>
      <w:r w:rsidR="004E72B3" w:rsidRPr="004E72B3">
        <w:rPr>
          <w:rFonts w:ascii="Arial" w:hAnsi="Arial" w:cs="Arial"/>
          <w:sz w:val="20"/>
          <w:lang w:val="en-GB"/>
        </w:rPr>
        <w:fldChar w:fldCharType="begin"/>
      </w:r>
      <w:r w:rsidRPr="00835DC2">
        <w:rPr>
          <w:rFonts w:ascii="Arial" w:hAnsi="Arial" w:cs="Arial"/>
          <w:sz w:val="20"/>
          <w:lang w:val="en-GB"/>
        </w:rPr>
        <w:instrText xml:space="preserve"> ADDIN ZOTERO_ITEM CSL_CITATION {"citationID":"TYZoFqL8","properties":{"formattedCitation":"\\super 4\\nosupersub{}","plainCitation":"4","noteIndex":0},"citationItems":[{"id":4191,"uris":["http://zotero.org/users/2709798/items/TXG39SER"],"uri":["http://zotero.org/users/2709798/items/TXG39SER"],"itemData":{"id":4191,"type":"article-journal","abstract":"Volcanoes represent one of the largest natural sources of metals to the Earth’s surface. Emissions of these metals can have important impacts on the biosphere as pollutants or nutrients. Here we use ground- and drone-based direct measurements to compare the gas and particulate chemistry of the magmatic and lava–seawater interaction (laze) plumes from the 2018 eruption of Kīlauea, Hawai’i. We find that the magmatic plume contains abundant volatile metals and metalloids whereas the laze plume is further enriched in copper and seawater components, like chlorine, with volatile metals also elevated above seawater concentrations. Speciation modelling of magmatic gas mixtures highlights the importance of the S2− ligand in highly volatile metal/metalloid degassing at the magmatic vent. In contrast, volatile metal enrichments in the laze plume can be explained by affinity for chloride complexation during late-stage degassing of distal lavas, which is potentially facilitated by the HCl gas formed as seawater boils.","container-title":"Communications Earth &amp; Environment","DOI":"10.1038/s43247-021-00145-3","ISSN":"2662-4435","issue":"1","language":"en","note":"number: 1\npublisher: Nature Publishing Group","page":"1-16","source":"www.nature.com","title":"Volatile metal emissions from volcanic degassing and lava–seawater interactions at Kīlauea Volcano, Hawai’i","volume":"2","author":[{"family":"Mason","given":"Emily"},{"family":"Wieser","given":"Penny E."},{"family":"Liu","given":"Emma J."},{"family":"Edmonds","given":"Marie"},{"family":"Ilyinskaya","given":"Evgenia"},{"family":"Whitty","given":"Rachel C. W."},{"family":"Mather","given":"Tamsin A."},{"family":"Elias","given":"Tamar"},{"family":"Nadeau","given":"Patricia Amanda"},{"family":"Wilkes","given":"Thomas C."},{"family":"McGonigle","given":"Andrew J. S."},{"family":"Pering","given":"Tom D."},{"family":"Mims","given":"Forrest M."},{"family":"Kern","given":"Christoph"},{"family":"Schneider","given":"David J."},{"family":"Oppenheimer","given":"Clive"}],"issued":{"date-parts":[["2021",5,4]]}}}],"schema":"https://github.com/citation-style-language/schema/raw/master/csl-citation.json"} </w:instrText>
      </w:r>
      <w:r w:rsidR="004E72B3" w:rsidRPr="004E72B3">
        <w:rPr>
          <w:rFonts w:ascii="Arial" w:hAnsi="Arial" w:cs="Arial"/>
          <w:sz w:val="20"/>
          <w:lang w:val="en-GB"/>
        </w:rPr>
        <w:fldChar w:fldCharType="separate"/>
      </w:r>
      <w:r w:rsidRPr="00835DC2">
        <w:rPr>
          <w:rFonts w:ascii="Arial" w:hAnsi="Arial" w:cs="Arial"/>
          <w:sz w:val="20"/>
          <w:vertAlign w:val="superscript"/>
        </w:rPr>
        <w:t>4</w:t>
      </w:r>
      <w:r w:rsidR="004E72B3" w:rsidRPr="004E72B3">
        <w:rPr>
          <w:rFonts w:ascii="Arial" w:hAnsi="Arial" w:cs="Arial"/>
          <w:sz w:val="20"/>
          <w:lang w:val="en-GB"/>
        </w:rPr>
        <w:fldChar w:fldCharType="end"/>
      </w:r>
      <w:r w:rsidR="004E72B3" w:rsidRPr="004E72B3">
        <w:rPr>
          <w:rFonts w:ascii="Arial" w:hAnsi="Arial" w:cs="Arial"/>
          <w:sz w:val="20"/>
          <w:lang w:val="en-GB"/>
        </w:rPr>
        <w:t xml:space="preserve">, </w:t>
      </w:r>
      <w:proofErr w:type="spellStart"/>
      <w:r w:rsidR="004E72B3" w:rsidRPr="004E72B3">
        <w:rPr>
          <w:rFonts w:ascii="Arial" w:hAnsi="Arial" w:cs="Arial"/>
          <w:sz w:val="20"/>
          <w:lang w:val="en-GB"/>
        </w:rPr>
        <w:t>Erta</w:t>
      </w:r>
      <w:proofErr w:type="spellEnd"/>
      <w:r w:rsidR="004E72B3" w:rsidRPr="004E72B3">
        <w:rPr>
          <w:rFonts w:ascii="Arial" w:hAnsi="Arial" w:cs="Arial"/>
          <w:sz w:val="20"/>
          <w:lang w:val="en-GB"/>
        </w:rPr>
        <w:t xml:space="preserve"> ‘Ale</w:t>
      </w:r>
      <w:r w:rsidR="004E72B3" w:rsidRPr="004E72B3">
        <w:rPr>
          <w:rFonts w:ascii="Arial" w:hAnsi="Arial" w:cs="Arial"/>
          <w:sz w:val="20"/>
          <w:lang w:val="en-GB"/>
        </w:rPr>
        <w:fldChar w:fldCharType="begin"/>
      </w:r>
      <w:r w:rsidRPr="00835DC2">
        <w:rPr>
          <w:rFonts w:ascii="Arial" w:hAnsi="Arial" w:cs="Arial"/>
          <w:sz w:val="20"/>
          <w:lang w:val="en-GB"/>
        </w:rPr>
        <w:instrText xml:space="preserve"> ADDIN ZOTERO_ITEM CSL_CITATION {"citationID":"RbrTCe1h","properties":{"formattedCitation":"\\super 5\\nosupersub{}","plainCitation":"5","noteIndex":0},"citationItems":[{"id":2537,"uris":["http://zotero.org/users/2709798/items/YQVHIZCV"],"uri":["http://zotero.org/users/2709798/items/YQVHIZCV"],"itemData":{"id":2537,"type":"article-journal","abstract":"High-temperature (1084°C) fumarolic emissions from a spatter cone at the Erta Ale north pit crater granted a rare opportunity to collect Giggenbach bottles, condensates, and sublimates from the fumarolic gases of a rift/plume volcano in the immediate proximity of degassing lava. These results represent the highest-temperature gases sampled directly for trace elements and the first high-T fumarolic samples for a rift/plume volcano. Sixty-seven metals and metalloids were measured quantitatively by ICP-AES and ICP-MS in liquid gas condensates and solid sublimates. The total amount of trace elements in the gas (without Si) exceeded 170ppm. The ten most abundant elements transported in nonsilicate modes were Na (61ppm), Fe (41ppm), K (32ppm), Br (12.4ppm), Cd (3.0ppm), Se (2.3ppm), Cu (2.0ppm), Zn (2.0ppm), Te (1.7ppm), and As (1.2ppm). The gases contained 27ppb Re, 1.5ppb Au, 0.5ppb Pt, and 0.27ppb Os. Rh- and Pd-containing phases were observed in solid sublimates. The only metal not detected by all analytical methods was ruthenium. Chalcophile elements (Cd, Cu, Zn, Se, Te, As) were transported primarily in the gaseous form. Alkali metals were emitted, at least partially, as liquid micron-size sulfate droplets, whereas alkali earths, aluminum, and REE had a high affinity to silicate aerosol in the form of basaltic microspheres. The silicate aerosol content was evaluated at 59ppm on average but varied within a 7.5-fold range during sampling. Because of the extremely high temperature, refractory elements Ca, Ba, Ta, U, and LREE showed evidence of transport in the form of gaseous species. The SO2 flux in January 2011 was evaluated at 91±24t/d for the entire volcano, including ~31t/d from the north crater and ~60t/d from the lava lake. The daily output of trace elements from both Erta Ale craters (without Si) was estimated at 53kg/d, including 20kg of Na, 13.5kg of Fe, 10.5kg of K, 4.5kg of chalcophile elements, 9g of Re, 0.5g of Au, and 0.17g of Pt. The trace element pattern of Erta Ale fumarolic gases do not possess any distinct geochemical specialization and resemble TE patterns from fumarolic emissions of studied arc and plume volcanoes.","container-title":"Chemical Geology","DOI":"10.1016/j.chemgeo.2013.08.022","ISSN":"0009-2541","journalAbbreviation":"Chemical Geology","page":"95-116","source":"ScienceDirect","title":"Trace elements in the gas emissions from the Erta Ale volcano, Afar, Ethiopia","volume":"357","author":[{"family":"Zelenski","given":"Michael E."},{"family":"Fischer","given":"Tobias P."},{"family":"Moor","given":"J. Maarten","non-dropping-particle":"de"},{"family":"Marty","given":"Bernard"},{"family":"Zimmermann","given":"Laurent"},{"family":"Ayalew","given":"Dereje"},{"family":"Nekrasov","given":"Aleksey N."},{"family":"Karandashev","given":"Vasilii K."}],"issued":{"date-parts":[["2013",10,24]]}}}],"schema":"https://github.com/citation-style-language/schema/raw/master/csl-citation.json"} </w:instrText>
      </w:r>
      <w:r w:rsidR="004E72B3" w:rsidRPr="004E72B3">
        <w:rPr>
          <w:rFonts w:ascii="Arial" w:hAnsi="Arial" w:cs="Arial"/>
          <w:sz w:val="20"/>
          <w:lang w:val="en-GB"/>
        </w:rPr>
        <w:fldChar w:fldCharType="separate"/>
      </w:r>
      <w:r w:rsidRPr="00835DC2">
        <w:rPr>
          <w:rFonts w:ascii="Arial" w:hAnsi="Arial" w:cs="Arial"/>
          <w:sz w:val="20"/>
          <w:vertAlign w:val="superscript"/>
        </w:rPr>
        <w:t>5</w:t>
      </w:r>
      <w:r w:rsidR="004E72B3" w:rsidRPr="004E72B3">
        <w:rPr>
          <w:rFonts w:ascii="Arial" w:hAnsi="Arial" w:cs="Arial"/>
          <w:sz w:val="20"/>
          <w:lang w:val="en-GB"/>
        </w:rPr>
        <w:fldChar w:fldCharType="end"/>
      </w:r>
      <w:r w:rsidR="004E72B3" w:rsidRPr="004E72B3">
        <w:rPr>
          <w:rFonts w:ascii="Arial" w:hAnsi="Arial" w:cs="Arial"/>
          <w:sz w:val="20"/>
          <w:lang w:val="en-GB"/>
        </w:rPr>
        <w:t>, Mt. Erebus</w:t>
      </w:r>
      <w:r w:rsidR="004E72B3" w:rsidRPr="004E72B3">
        <w:rPr>
          <w:rFonts w:ascii="Arial" w:hAnsi="Arial" w:cs="Arial"/>
          <w:sz w:val="20"/>
          <w:lang w:val="en-GB"/>
        </w:rPr>
        <w:fldChar w:fldCharType="begin"/>
      </w:r>
      <w:r w:rsidRPr="00835DC2">
        <w:rPr>
          <w:rFonts w:ascii="Arial" w:hAnsi="Arial" w:cs="Arial"/>
          <w:sz w:val="20"/>
          <w:lang w:val="en-GB"/>
        </w:rPr>
        <w:instrText xml:space="preserve"> ADDIN ZOTERO_ITEM CSL_CITATION {"citationID":"beo6CWBh","properties":{"formattedCitation":"\\super 6,7\\nosupersub{}","plainCitation":"6,7","noteIndex":0},"citationItems":[{"id":3747,"uris":["http://zotero.org/users/2709798/items/K3VPCN76"],"uri":["http://zotero.org/users/2709798/items/K3VPCN76"],"itemData":{"id":3747,"type":"article-journal","abstract":"Volcanic emission rates of As, Sb, Pb, Hg, Se, Cl, and F were determined at Erebus volcano, Antarctica and White Island, New Zealand, using chemical traps. The trace metal fluxes were determined by combining the species to S ratios in the solutions with SO2 emission rates measured by correlation spectrometry at the two volcanoes. At Erebus volcano, fluxes for the metals Pb and Hg were 2.0×10−4 and 8.1×10−6 kg s−11, respectively. Fluxes for Cl, F, As, Sb and Se (0.35, 0.15, 2.5×10−4, 1.2×10−5, and 4.5×10−6 kg s−1, respectively) agreed within error limits for values determined previously by the LiOH impregnated filter method [Zreda-Gostynska, G., Kyle, P., Finnegan, D., Prestbo, K., 1997. Volcanic gas emissions from Mount Erebus and their impact on the Antarctic environment. Journal of Geophysical Research, 102(B7): 15039–15055.], demonstrating the utility of the chemical trap method. A fall in the As/S ratio from 7×10−4 in 1997/1999 to 3×10−4 in 2000 at Erebus coincided with a change in the frequency and style of eruptive activity that may have been due to injection of magma into the system. At White Island, chemical trap data indicated fluxes of Cl=0.90, F=0.0079, Pb=2.7×10−4, Hg=1.1×10−5, As=1.3×10−4, Sb=1.9×10−5 and Se=1.5×10−5 kg s−1. Samples collected 600 m downwind of the active crater were comparable to samples collected adjacent to the main gas vent, showing that this method can still be used at some distance from a degassing vent.","collection-title":"Volcanology of Erebus volcano, Antarctica","container-title":"Journal of Volcanology and Geothermal Research","DOI":"10.1016/j.jvolgeores.2007.07.007","ISSN":"0377-0273","issue":"3","journalAbbreviation":"Journal of Volcanology and Geothermal Research","language":"en","page":"734-742","source":"ScienceDirect","title":"Volcanic emissions of metals and halogens from White Island (New Zealand) and Erebus volcano (Antarctica) determined with chemical traps","volume":"177","author":[{"family":"Wardell","given":"L. J."},{"family":"Kyle","given":"P. R."},{"family":"Counce","given":"D."}],"issued":{"date-parts":[["2008",11,10]]}}},{"id":3750,"uris":["http://zotero.org/users/2709798/items/IAPGV5GS"],"uri":["http://zotero.org/users/2709798/items/IAPGV5GS"],"itemData":{"id":3750,"type":"article-journal","abstract":"Emission rates of SO2, HCl, and HF from the active volcano Mount Erebus, Antarctica, increased between 1986 and 1991; SO2 from 7.7 to 25.9 Gg yr−1, HCl from 6.9 to 13.3 Gg yr−1 and HF from 4.0 to 6.0 Gg yr−1. The emission rates of halogens from Mount Erebus are high relative to SO2 emissions and are accompanied by relatively high emissions of trace gases and aerosols (Na, K, As, Zn, In, As, Se, and Au). Many elements (S, Cl, and metals) found in the Erebus plume are common impurities in Antarctic snow. Using a model which assumes a homogeneous distribution of the volcanic gas plume over Antarctica, we suggest that Erebus could be a source of the impurities. We calculate that Erebus could potentially contribute between 4 and 14 ng g−1 snow of Cl at the south pole, and between 11 and 36 ng g−1 snow of Cl at Dome C. Excess Cl (Cl in excess of that derived from marine NaCl aerosols) recorded in snow and firn cores from south pole and Dome C could be mainly derived from Erebus. Similarly, our predicted concentrations of Erebus-derived Cu, Zn, Cd, V, As, and Au in Antarctic snow are close to those reported. Trace element and Pb isotope compositions of Erebus aerosols are similar to those collected in remote regions of Antarctica. The volcanic gas plume emitted from Erebus appears to make a significant contribution to the Antarctic atmosphere and can be detected in the snow deposited over a wide area of the continent.","container-title":"Journal of Geophysical Research: Solid Earth","DOI":"10.1029/97JB00155","ISSN":"2156-2202","issue":"B7","language":"en","note":"_eprint: https://agupubs.onlinelibrary.wiley.com/doi/pdf/10.1029/97JB00155","page":"15039-15055","source":"Wiley Online Library","title":"Volcanic gas emissions from Mount Erebus and their impact on the Antarctic environment","volume":"102","author":[{"family":"Zreda</w:instrText>
      </w:r>
      <w:r w:rsidRPr="00835DC2">
        <w:rPr>
          <w:rFonts w:ascii="Cambria Math" w:hAnsi="Cambria Math" w:cs="Cambria Math"/>
          <w:sz w:val="20"/>
          <w:lang w:val="en-GB"/>
        </w:rPr>
        <w:instrText>‐</w:instrText>
      </w:r>
      <w:r w:rsidRPr="00835DC2">
        <w:rPr>
          <w:rFonts w:ascii="Arial" w:hAnsi="Arial" w:cs="Arial"/>
          <w:sz w:val="20"/>
          <w:lang w:val="en-GB"/>
        </w:rPr>
        <w:instrText xml:space="preserve">Gostynska","given":"Grazyna"},{"family":"Kyle","given":"Philip R."},{"family":"Finnegan","given":"D."},{"family":"Prestbo","given":"Kimberly Meeker"}],"issued":{"date-parts":[["1997"]]}}}],"schema":"https://github.com/citation-style-language/schema/raw/master/csl-citation.json"} </w:instrText>
      </w:r>
      <w:r w:rsidR="004E72B3" w:rsidRPr="004E72B3">
        <w:rPr>
          <w:rFonts w:ascii="Arial" w:hAnsi="Arial" w:cs="Arial"/>
          <w:sz w:val="20"/>
          <w:lang w:val="en-GB"/>
        </w:rPr>
        <w:fldChar w:fldCharType="separate"/>
      </w:r>
      <w:r w:rsidRPr="00835DC2">
        <w:rPr>
          <w:rFonts w:ascii="Arial" w:hAnsi="Arial" w:cs="Arial"/>
          <w:sz w:val="20"/>
          <w:vertAlign w:val="superscript"/>
        </w:rPr>
        <w:t>6,7</w:t>
      </w:r>
      <w:r w:rsidR="004E72B3" w:rsidRPr="004E72B3">
        <w:rPr>
          <w:rFonts w:ascii="Arial" w:hAnsi="Arial" w:cs="Arial"/>
          <w:sz w:val="20"/>
          <w:lang w:val="en-GB"/>
        </w:rPr>
        <w:fldChar w:fldCharType="end"/>
      </w:r>
      <w:r w:rsidR="004E72B3" w:rsidRPr="004E72B3">
        <w:rPr>
          <w:rFonts w:ascii="Arial" w:hAnsi="Arial" w:cs="Arial"/>
          <w:sz w:val="20"/>
          <w:lang w:val="en-GB"/>
        </w:rPr>
        <w:t xml:space="preserve"> and Nyiragongo</w:t>
      </w:r>
      <w:r w:rsidR="004E72B3" w:rsidRPr="004E72B3">
        <w:rPr>
          <w:rFonts w:ascii="Arial" w:hAnsi="Arial" w:cs="Arial"/>
          <w:sz w:val="20"/>
          <w:lang w:val="en-GB"/>
        </w:rPr>
        <w:fldChar w:fldCharType="begin"/>
      </w:r>
      <w:r w:rsidRPr="00835DC2">
        <w:rPr>
          <w:rFonts w:ascii="Arial" w:hAnsi="Arial" w:cs="Arial"/>
          <w:sz w:val="20"/>
          <w:lang w:val="en-GB"/>
        </w:rPr>
        <w:instrText xml:space="preserve"> ADDIN ZOTERO_ITEM CSL_CITATION {"citationID":"7QPmxVxL","properties":{"formattedCitation":"\\super 8\\nosupersub{}","plainCitation":"8","noteIndex":0},"citationItems":[{"id":3756,"uris":["http://zotero.org/users/2709798/items/9NUY3WB8"],"uri":["http://zotero.org/users/2709798/items/9NUY3WB8"],"itemData":{"id":3756,"type":"article-journal","abstract":"Volcanoes are well known as an impressive large natural source of trace elements into the troposphere. Etna (Italy) and Nyiragongo (D.R. Congo) are two stratovolcanoes located in different geological settings, both characterized by persistent passive degassing from their summit craters. Here, we present some results on trace element composition in volcanic plume emissions, atmospheric bulk deposition (rainwater) and their uptake by the surrounding vegetation, with the aim to compare and identify differences and similarities between these two volcanoes. Volcanic emissions were sampled by using active filter-packs for acid gases (sulfur and halogens) and specific teflon filters for particulates (major and trace elements). The environmental impact of the volcanogenic deposition in the area surrounding of the crater rims was investigated by using different sampling techniques: bulk rain collectors’ gauges were used to collect atmospheric bulk deposition, and biomonitoring was carried out to collect gases and particulates by using endemic plant species. The estimates of the trace element fluxes confirm that Etna and Nyiragongo are large sources of metals into the atmosphere, especially considering their persistent state of passive degassing. The large amount of emitted trace elements is clearly reflected on the chemical composition of rainwater collected at the summit areas both for Etna and Nyiragongo. Moreover, the biomonitoring results highlight that bioaccumulation of trace elements is extremely high in the proximity of the crater rim and de- creases with the distance from the active craters.","container-title":"Annals of Geophysics","DOI":"10.4401/ag-6637","ISSN":"2037-416X","issue":"0","language":"en","note":"number: 0","source":"www.annalsofgeophysics.eu","title":"Passive degassing at Nyiragongo (D.R. Congo) and Etna (Italy) volcanoes","URL":"https://www.annalsofgeophysics.eu/index.php/annals/article/view/6637","volume":"57","author":[{"family":"Calabrese","given":"Sergio"},{"family":"Scaglione","given":"Sarah"},{"family":"Milazzo","given":"Silvia"},{"family":"D'Alessandro","given":"Walter"},{"family":"Bobrowski","given":"Nicole"},{"family":"Giuffrida","given":"Giovanni Bruno"},{"family":"Tedesco","given":"Dario"},{"family":"Parello","given":"Francesco"},{"family":"Yalire","given":"Mathiew"}],"accessed":{"date-parts":[["2020",10,27]]},"issued":{"date-parts":[["2015",2,27]]}}}],"schema":"https://github.com/citation-style-language/schema/raw/master/csl-citation.json"} </w:instrText>
      </w:r>
      <w:r w:rsidR="004E72B3" w:rsidRPr="004E72B3">
        <w:rPr>
          <w:rFonts w:ascii="Arial" w:hAnsi="Arial" w:cs="Arial"/>
          <w:sz w:val="20"/>
          <w:lang w:val="en-GB"/>
        </w:rPr>
        <w:fldChar w:fldCharType="separate"/>
      </w:r>
      <w:r w:rsidRPr="00835DC2">
        <w:rPr>
          <w:rFonts w:ascii="Arial" w:hAnsi="Arial" w:cs="Arial"/>
          <w:sz w:val="20"/>
          <w:vertAlign w:val="superscript"/>
        </w:rPr>
        <w:t>8</w:t>
      </w:r>
      <w:r w:rsidR="004E72B3" w:rsidRPr="004E72B3">
        <w:rPr>
          <w:rFonts w:ascii="Arial" w:hAnsi="Arial" w:cs="Arial"/>
          <w:sz w:val="20"/>
          <w:lang w:val="en-GB"/>
        </w:rPr>
        <w:fldChar w:fldCharType="end"/>
      </w:r>
      <w:r w:rsidR="004E72B3" w:rsidRPr="004E72B3">
        <w:rPr>
          <w:rFonts w:ascii="Arial" w:hAnsi="Arial" w:cs="Arial"/>
          <w:sz w:val="20"/>
          <w:lang w:val="en-GB"/>
        </w:rPr>
        <w:t>. Note the different y-axis scales; when a ratio plots far from other values, its value is indicated next to an arrow.</w:t>
      </w:r>
    </w:p>
    <w:p w14:paraId="18A24502" w14:textId="77777777" w:rsidR="004E72B3" w:rsidRDefault="004E72B3">
      <w:pPr>
        <w:rPr>
          <w:rFonts w:ascii="Arial" w:hAnsi="Arial" w:cs="Arial"/>
          <w:b/>
          <w:bCs/>
          <w:sz w:val="20"/>
          <w:lang w:val="en-GB"/>
        </w:rPr>
      </w:pPr>
      <w:r>
        <w:rPr>
          <w:rFonts w:ascii="Arial" w:hAnsi="Arial" w:cs="Arial"/>
          <w:b/>
          <w:bCs/>
          <w:sz w:val="20"/>
          <w:lang w:val="en-GB"/>
        </w:rPr>
        <w:br w:type="page"/>
      </w:r>
    </w:p>
    <w:p w14:paraId="4E9E27F6" w14:textId="2C1AEF2E" w:rsidR="00835DC2" w:rsidRDefault="00835DC2">
      <w:pPr>
        <w:rPr>
          <w:rFonts w:ascii="Arial" w:hAnsi="Arial" w:cs="Arial"/>
          <w:b/>
          <w:bCs/>
          <w:sz w:val="20"/>
          <w:lang w:val="en-GB"/>
        </w:rPr>
      </w:pPr>
      <w:r>
        <w:rPr>
          <w:rFonts w:ascii="Arial" w:hAnsi="Arial" w:cs="Arial"/>
          <w:b/>
          <w:bCs/>
          <w:sz w:val="20"/>
          <w:lang w:val="en-GB"/>
        </w:rPr>
        <w:lastRenderedPageBreak/>
        <w:br w:type="page"/>
      </w:r>
    </w:p>
    <w:p w14:paraId="3465084D" w14:textId="25C00D18" w:rsidR="004E72B3" w:rsidRPr="004E72B3" w:rsidRDefault="004E72B3" w:rsidP="004E72B3">
      <w:pPr>
        <w:rPr>
          <w:rFonts w:ascii="Arial" w:hAnsi="Arial" w:cs="Arial"/>
          <w:sz w:val="20"/>
          <w:lang w:val="en-GB"/>
        </w:rPr>
      </w:pPr>
      <w:r w:rsidRPr="004E72B3">
        <w:rPr>
          <w:rFonts w:ascii="Arial" w:hAnsi="Arial" w:cs="Arial"/>
          <w:b/>
          <w:bCs/>
          <w:sz w:val="20"/>
          <w:lang w:val="en-GB"/>
        </w:rPr>
        <w:lastRenderedPageBreak/>
        <w:t xml:space="preserve">Table </w:t>
      </w:r>
      <w:r w:rsidR="008C4F1C">
        <w:rPr>
          <w:rFonts w:ascii="Arial" w:hAnsi="Arial" w:cs="Arial"/>
          <w:b/>
          <w:bCs/>
          <w:sz w:val="20"/>
          <w:lang w:val="en-GB"/>
        </w:rPr>
        <w:t>S</w:t>
      </w:r>
      <w:r w:rsidRPr="004E72B3">
        <w:rPr>
          <w:rFonts w:ascii="Arial" w:hAnsi="Arial" w:cs="Arial"/>
          <w:b/>
          <w:bCs/>
          <w:sz w:val="20"/>
          <w:lang w:val="en-GB"/>
        </w:rPr>
        <w:fldChar w:fldCharType="begin"/>
      </w:r>
      <w:r w:rsidRPr="004E72B3">
        <w:rPr>
          <w:rFonts w:ascii="Arial" w:hAnsi="Arial" w:cs="Arial"/>
          <w:b/>
          <w:bCs/>
          <w:sz w:val="20"/>
          <w:lang w:val="en-GB"/>
        </w:rPr>
        <w:instrText xml:space="preserve"> SEQ Table \* ARABIC \s 1 </w:instrText>
      </w:r>
      <w:r w:rsidRPr="004E72B3">
        <w:rPr>
          <w:rFonts w:ascii="Arial" w:hAnsi="Arial" w:cs="Arial"/>
          <w:b/>
          <w:bCs/>
          <w:sz w:val="20"/>
          <w:lang w:val="en-GB"/>
        </w:rPr>
        <w:fldChar w:fldCharType="separate"/>
      </w:r>
      <w:r w:rsidRPr="004E72B3">
        <w:rPr>
          <w:rFonts w:ascii="Arial" w:hAnsi="Arial" w:cs="Arial"/>
          <w:b/>
          <w:bCs/>
          <w:sz w:val="20"/>
          <w:lang w:val="en-GB"/>
        </w:rPr>
        <w:t>1</w:t>
      </w:r>
      <w:r w:rsidRPr="004E72B3">
        <w:rPr>
          <w:rFonts w:ascii="Arial" w:hAnsi="Arial" w:cs="Arial"/>
          <w:sz w:val="20"/>
        </w:rPr>
        <w:fldChar w:fldCharType="end"/>
      </w:r>
      <w:bookmarkEnd w:id="10"/>
      <w:bookmarkEnd w:id="11"/>
      <w:r w:rsidRPr="004E72B3">
        <w:rPr>
          <w:rFonts w:ascii="Arial" w:hAnsi="Arial" w:cs="Arial"/>
          <w:b/>
          <w:bCs/>
          <w:sz w:val="20"/>
          <w:lang w:val="en-GB"/>
        </w:rPr>
        <w:t xml:space="preserve">. Input concentrations of gases for speciation models. </w:t>
      </w:r>
      <w:r w:rsidRPr="004E72B3">
        <w:rPr>
          <w:rFonts w:ascii="Arial" w:hAnsi="Arial" w:cs="Arial"/>
          <w:sz w:val="20"/>
          <w:lang w:val="en-GB"/>
        </w:rPr>
        <w:t xml:space="preserve">Chemical species are ordered by abundance in the Mt. Takahe gas mixture. All </w:t>
      </w:r>
      <w:proofErr w:type="spellStart"/>
      <w:r w:rsidRPr="004E72B3">
        <w:rPr>
          <w:rFonts w:ascii="Arial" w:hAnsi="Arial" w:cs="Arial"/>
          <w:sz w:val="20"/>
          <w:lang w:val="en-GB"/>
        </w:rPr>
        <w:t>Erta</w:t>
      </w:r>
      <w:proofErr w:type="spellEnd"/>
      <w:r w:rsidRPr="004E72B3">
        <w:rPr>
          <w:rFonts w:ascii="Arial" w:hAnsi="Arial" w:cs="Arial"/>
          <w:sz w:val="20"/>
          <w:lang w:val="en-GB"/>
        </w:rPr>
        <w:t xml:space="preserve"> 'Ale data is from</w:t>
      </w:r>
      <w:r w:rsidR="008C4F1C">
        <w:rPr>
          <w:rFonts w:ascii="Arial" w:hAnsi="Arial" w:cs="Arial"/>
          <w:sz w:val="20"/>
          <w:lang w:val="en-GB"/>
        </w:rPr>
        <w:t xml:space="preserve"> ref</w:t>
      </w:r>
      <w:r w:rsidRPr="004E72B3">
        <w:rPr>
          <w:rFonts w:ascii="Arial" w:hAnsi="Arial" w:cs="Arial"/>
          <w:sz w:val="20"/>
          <w:lang w:val="en-GB"/>
        </w:rPr>
        <w:fldChar w:fldCharType="begin"/>
      </w:r>
      <w:r w:rsidR="008C4F1C">
        <w:rPr>
          <w:rFonts w:ascii="Arial" w:hAnsi="Arial" w:cs="Arial"/>
          <w:sz w:val="20"/>
          <w:lang w:val="en-GB"/>
        </w:rPr>
        <w:instrText xml:space="preserve"> ADDIN ZOTERO_ITEM CSL_CITATION {"citationID":"FQMBD7il","properties":{"formattedCitation":"\\super 5\\nosupersub{}","plainCitation":"5","noteIndex":0},"citationItems":[{"id":2537,"uris":["http://zotero.org/users/2709798/items/YQVHIZCV"],"uri":["http://zotero.org/users/2709798/items/YQVHIZCV"],"itemData":{"id":2537,"type":"article-journal","abstract":"High-temperature (1084°C) fumarolic emissions from a spatter cone at the Erta Ale north pit crater granted a rare opportunity to collect Giggenbach bottles, condensates, and sublimates from the fumarolic gases of a rift/plume volcano in the immediate proximity of degassing lava. These results represent the highest-temperature gases sampled directly for trace elements and the first high-T fumarolic samples for a rift/plume volcano. Sixty-seven metals and metalloids were measured quantitatively by ICP-AES and ICP-MS in liquid gas condensates and solid sublimates. The total amount of trace elements in the gas (without Si) exceeded 170ppm. The ten most abundant elements transported in nonsilicate modes were Na (61ppm), Fe (41ppm), K (32ppm), Br (12.4ppm), Cd (3.0ppm), Se (2.3ppm), Cu (2.0ppm), Zn (2.0ppm), Te (1.7ppm), and As (1.2ppm). The gases contained 27ppb Re, 1.5ppb Au, 0.5ppb Pt, and 0.27ppb Os. Rh- and Pd-containing phases were observed in solid sublimates. The only metal not detected by all analytical methods was ruthenium. Chalcophile elements (Cd, Cu, Zn, Se, Te, As) were transported primarily in the gaseous form. Alkali metals were emitted, at least partially, as liquid micron-size sulfate droplets, whereas alkali earths, aluminum, and REE had a high affinity to silicate aerosol in the form of basaltic microspheres. The silicate aerosol content was evaluated at 59ppm on average but varied within a 7.5-fold range during sampling. Because of the extremely high temperature, refractory elements Ca, Ba, Ta, U, and LREE showed evidence of transport in the form of gaseous species. The SO2 flux in January 2011 was evaluated at 91±24t/d for the entire volcano, including ~31t/d from the north crater and ~60t/d from the lava lake. The daily output of trace elements from both Erta Ale craters (without Si) was estimated at 53kg/d, including 20kg of Na, 13.5kg of Fe, 10.5kg of K, 4.5kg of chalcophile elements, 9g of Re, 0.5g of Au, and 0.17g of Pt. The trace element pattern of Erta Ale fumarolic gases do not possess any distinct geochemical specialization and resemble TE patterns from fumarolic emissions of studied arc and plume volcanoes.","container-title":"Chemical Geology","DOI":"10.1016/j.chemgeo.2013.08.022","ISSN":"0009-2541","journalAbbreviation":"Chemical Geology","page":"95-116","source":"ScienceDirect","title":"Trace elements in the gas emissions from the Erta Ale volcano, Afar, Ethiopia","volume":"357","author":[{"family":"Zelenski","given":"Michael E."},{"family":"Fischer","given":"Tobias P."},{"family":"Moor","given":"J. Maarten","non-dropping-particle":"de"},{"family":"Marty","given":"Bernard"},{"family":"Zimmermann","given":"Laurent"},{"family":"Ayalew","given":"Dereje"},{"family":"Nekrasov","given":"Aleksey N."},{"family":"Karandashev","given":"Vasilii K."}],"issued":{"date-parts":[["2013",10,24]]}}}],"schema":"https://github.com/citation-style-language/schema/raw/master/csl-citation.json"} </w:instrText>
      </w:r>
      <w:r w:rsidRPr="004E72B3">
        <w:rPr>
          <w:rFonts w:ascii="Arial" w:hAnsi="Arial" w:cs="Arial"/>
          <w:sz w:val="20"/>
          <w:lang w:val="en-GB"/>
        </w:rPr>
        <w:fldChar w:fldCharType="separate"/>
      </w:r>
      <w:r w:rsidR="008C4F1C" w:rsidRPr="008C4F1C">
        <w:rPr>
          <w:rFonts w:ascii="Arial" w:hAnsi="Arial" w:cs="Arial"/>
          <w:sz w:val="20"/>
          <w:vertAlign w:val="superscript"/>
        </w:rPr>
        <w:t>5</w:t>
      </w:r>
      <w:r w:rsidRPr="004E72B3">
        <w:rPr>
          <w:rFonts w:ascii="Arial" w:hAnsi="Arial" w:cs="Arial"/>
          <w:sz w:val="20"/>
        </w:rPr>
        <w:fldChar w:fldCharType="end"/>
      </w:r>
      <w:r w:rsidRPr="004E72B3">
        <w:rPr>
          <w:rFonts w:ascii="Arial" w:hAnsi="Arial" w:cs="Arial"/>
          <w:sz w:val="20"/>
          <w:lang w:val="en-GB"/>
        </w:rPr>
        <w:t>.</w:t>
      </w:r>
    </w:p>
    <w:tbl>
      <w:tblPr>
        <w:tblStyle w:val="TableGrid"/>
        <w:tblpPr w:leftFromText="181" w:rightFromText="181" w:topFromText="284" w:bottomFromText="284" w:vertAnchor="text" w:horzAnchor="margin" w:tblpY="377"/>
        <w:tblW w:w="0" w:type="auto"/>
        <w:tblCellMar>
          <w:top w:w="57" w:type="dxa"/>
        </w:tblCellMar>
        <w:tblLook w:val="04A0" w:firstRow="1" w:lastRow="0" w:firstColumn="1" w:lastColumn="0" w:noHBand="0" w:noVBand="1"/>
      </w:tblPr>
      <w:tblGrid>
        <w:gridCol w:w="1459"/>
        <w:gridCol w:w="2312"/>
        <w:gridCol w:w="2596"/>
        <w:gridCol w:w="2273"/>
      </w:tblGrid>
      <w:tr w:rsidR="004E72B3" w:rsidRPr="004E72B3" w14:paraId="2C432CDB" w14:textId="77777777" w:rsidTr="004E72B3">
        <w:tc>
          <w:tcPr>
            <w:tcW w:w="1459" w:type="dxa"/>
            <w:tcBorders>
              <w:top w:val="single" w:sz="2" w:space="0" w:color="auto"/>
              <w:left w:val="nil"/>
              <w:bottom w:val="single" w:sz="2" w:space="0" w:color="auto"/>
              <w:right w:val="nil"/>
            </w:tcBorders>
            <w:vAlign w:val="center"/>
          </w:tcPr>
          <w:p w14:paraId="22FC308A" w14:textId="77777777" w:rsidR="004E72B3" w:rsidRPr="004E72B3" w:rsidRDefault="004E72B3" w:rsidP="004E72B3">
            <w:pPr>
              <w:rPr>
                <w:rFonts w:ascii="Arial" w:hAnsi="Arial" w:cs="Arial"/>
                <w:b/>
                <w:bCs/>
                <w:sz w:val="20"/>
                <w:lang w:val="en-GB"/>
              </w:rPr>
            </w:pPr>
          </w:p>
        </w:tc>
        <w:tc>
          <w:tcPr>
            <w:tcW w:w="4908" w:type="dxa"/>
            <w:gridSpan w:val="2"/>
            <w:tcBorders>
              <w:top w:val="single" w:sz="2" w:space="0" w:color="auto"/>
              <w:left w:val="nil"/>
              <w:bottom w:val="single" w:sz="2" w:space="0" w:color="auto"/>
              <w:right w:val="nil"/>
            </w:tcBorders>
            <w:vAlign w:val="center"/>
          </w:tcPr>
          <w:p w14:paraId="3FDEEB4F"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Mt. Takahe model</w:t>
            </w:r>
          </w:p>
        </w:tc>
        <w:tc>
          <w:tcPr>
            <w:tcW w:w="2273" w:type="dxa"/>
            <w:tcBorders>
              <w:top w:val="single" w:sz="2" w:space="0" w:color="auto"/>
              <w:left w:val="nil"/>
              <w:bottom w:val="single" w:sz="2" w:space="0" w:color="auto"/>
              <w:right w:val="nil"/>
            </w:tcBorders>
            <w:vAlign w:val="center"/>
          </w:tcPr>
          <w:p w14:paraId="65F612FC" w14:textId="77777777" w:rsidR="004E72B3" w:rsidRPr="004E72B3" w:rsidRDefault="004E72B3" w:rsidP="004E72B3">
            <w:pPr>
              <w:rPr>
                <w:rFonts w:ascii="Arial" w:hAnsi="Arial" w:cs="Arial"/>
                <w:b/>
                <w:bCs/>
                <w:sz w:val="20"/>
                <w:lang w:val="en-GB"/>
              </w:rPr>
            </w:pPr>
            <w:proofErr w:type="spellStart"/>
            <w:r w:rsidRPr="004E72B3">
              <w:rPr>
                <w:rFonts w:ascii="Arial" w:hAnsi="Arial" w:cs="Arial"/>
                <w:b/>
                <w:bCs/>
                <w:sz w:val="20"/>
                <w:lang w:val="en-GB"/>
              </w:rPr>
              <w:t>Erta</w:t>
            </w:r>
            <w:proofErr w:type="spellEnd"/>
            <w:r w:rsidRPr="004E72B3">
              <w:rPr>
                <w:rFonts w:ascii="Arial" w:hAnsi="Arial" w:cs="Arial"/>
                <w:b/>
                <w:bCs/>
                <w:sz w:val="20"/>
                <w:lang w:val="en-GB"/>
              </w:rPr>
              <w:t xml:space="preserve"> 'Ale model</w:t>
            </w:r>
          </w:p>
        </w:tc>
      </w:tr>
      <w:tr w:rsidR="004E72B3" w:rsidRPr="004E72B3" w14:paraId="2BDE951E" w14:textId="77777777" w:rsidTr="004E72B3">
        <w:tc>
          <w:tcPr>
            <w:tcW w:w="1459" w:type="dxa"/>
            <w:tcBorders>
              <w:top w:val="single" w:sz="2" w:space="0" w:color="auto"/>
              <w:left w:val="nil"/>
              <w:bottom w:val="single" w:sz="2" w:space="0" w:color="auto"/>
              <w:right w:val="nil"/>
            </w:tcBorders>
            <w:vAlign w:val="center"/>
          </w:tcPr>
          <w:p w14:paraId="281CA933"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Chemical species (gases)</w:t>
            </w:r>
          </w:p>
        </w:tc>
        <w:tc>
          <w:tcPr>
            <w:tcW w:w="2312" w:type="dxa"/>
            <w:tcBorders>
              <w:top w:val="single" w:sz="2" w:space="0" w:color="auto"/>
              <w:left w:val="nil"/>
              <w:bottom w:val="single" w:sz="2" w:space="0" w:color="auto"/>
              <w:right w:val="nil"/>
            </w:tcBorders>
            <w:vAlign w:val="center"/>
          </w:tcPr>
          <w:p w14:paraId="6E93C29F"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 xml:space="preserve">Input concentration </w:t>
            </w:r>
          </w:p>
          <w:p w14:paraId="359E3756"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(mol%, normalised to 100)</w:t>
            </w:r>
          </w:p>
        </w:tc>
        <w:tc>
          <w:tcPr>
            <w:tcW w:w="2596" w:type="dxa"/>
            <w:tcBorders>
              <w:top w:val="single" w:sz="2" w:space="0" w:color="auto"/>
              <w:left w:val="nil"/>
              <w:bottom w:val="single" w:sz="2" w:space="0" w:color="auto"/>
              <w:right w:val="nil"/>
            </w:tcBorders>
            <w:vAlign w:val="center"/>
          </w:tcPr>
          <w:p w14:paraId="11BDB589"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Data source</w:t>
            </w:r>
          </w:p>
        </w:tc>
        <w:tc>
          <w:tcPr>
            <w:tcW w:w="2273" w:type="dxa"/>
            <w:tcBorders>
              <w:top w:val="single" w:sz="2" w:space="0" w:color="auto"/>
              <w:left w:val="nil"/>
              <w:bottom w:val="single" w:sz="2" w:space="0" w:color="auto"/>
              <w:right w:val="nil"/>
            </w:tcBorders>
            <w:vAlign w:val="center"/>
          </w:tcPr>
          <w:p w14:paraId="35EA13B3"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 xml:space="preserve">Input concentration </w:t>
            </w:r>
          </w:p>
          <w:p w14:paraId="70028614" w14:textId="77777777" w:rsidR="004E72B3" w:rsidRPr="004E72B3" w:rsidRDefault="004E72B3" w:rsidP="004E72B3">
            <w:pPr>
              <w:rPr>
                <w:rFonts w:ascii="Arial" w:hAnsi="Arial" w:cs="Arial"/>
                <w:b/>
                <w:bCs/>
                <w:sz w:val="20"/>
                <w:lang w:val="en-GB"/>
              </w:rPr>
            </w:pPr>
            <w:r w:rsidRPr="004E72B3">
              <w:rPr>
                <w:rFonts w:ascii="Arial" w:hAnsi="Arial" w:cs="Arial"/>
                <w:b/>
                <w:bCs/>
                <w:sz w:val="20"/>
                <w:lang w:val="en-GB"/>
              </w:rPr>
              <w:t>(mol%, normalised to 100)</w:t>
            </w:r>
          </w:p>
        </w:tc>
      </w:tr>
      <w:tr w:rsidR="004E72B3" w:rsidRPr="004E72B3" w14:paraId="04E84B31" w14:textId="77777777" w:rsidTr="004E72B3">
        <w:tc>
          <w:tcPr>
            <w:tcW w:w="1459" w:type="dxa"/>
            <w:tcBorders>
              <w:top w:val="single" w:sz="2" w:space="0" w:color="auto"/>
              <w:left w:val="nil"/>
              <w:bottom w:val="nil"/>
              <w:right w:val="nil"/>
            </w:tcBorders>
            <w:vAlign w:val="center"/>
          </w:tcPr>
          <w:p w14:paraId="150B7073" w14:textId="77777777" w:rsidR="004E72B3" w:rsidRPr="004E72B3" w:rsidRDefault="004E72B3" w:rsidP="004E72B3">
            <w:pPr>
              <w:rPr>
                <w:rFonts w:ascii="Arial" w:hAnsi="Arial" w:cs="Arial"/>
                <w:sz w:val="20"/>
                <w:lang w:val="en-GB"/>
              </w:rPr>
            </w:pPr>
            <w:r w:rsidRPr="004E72B3">
              <w:rPr>
                <w:rFonts w:ascii="Arial" w:hAnsi="Arial" w:cs="Arial"/>
                <w:sz w:val="20"/>
                <w:lang w:val="en-GB"/>
              </w:rPr>
              <w:t>H</w:t>
            </w:r>
            <w:r w:rsidRPr="004E72B3">
              <w:rPr>
                <w:rFonts w:ascii="Arial" w:hAnsi="Arial" w:cs="Arial"/>
                <w:sz w:val="20"/>
                <w:vertAlign w:val="subscript"/>
                <w:lang w:val="en-GB"/>
              </w:rPr>
              <w:t>2</w:t>
            </w:r>
            <w:r w:rsidRPr="004E72B3">
              <w:rPr>
                <w:rFonts w:ascii="Arial" w:hAnsi="Arial" w:cs="Arial"/>
                <w:sz w:val="20"/>
                <w:lang w:val="en-GB"/>
              </w:rPr>
              <w:t>O</w:t>
            </w:r>
          </w:p>
        </w:tc>
        <w:tc>
          <w:tcPr>
            <w:tcW w:w="2312" w:type="dxa"/>
            <w:tcBorders>
              <w:top w:val="single" w:sz="2" w:space="0" w:color="auto"/>
              <w:left w:val="nil"/>
              <w:bottom w:val="nil"/>
              <w:right w:val="nil"/>
            </w:tcBorders>
            <w:vAlign w:val="center"/>
          </w:tcPr>
          <w:p w14:paraId="72E5A95E" w14:textId="77777777" w:rsidR="004E72B3" w:rsidRPr="004E72B3" w:rsidRDefault="004E72B3" w:rsidP="004E72B3">
            <w:pPr>
              <w:rPr>
                <w:rFonts w:ascii="Arial" w:hAnsi="Arial" w:cs="Arial"/>
                <w:sz w:val="20"/>
                <w:lang w:val="en-GB"/>
              </w:rPr>
            </w:pPr>
            <w:r w:rsidRPr="004E72B3">
              <w:rPr>
                <w:rFonts w:ascii="Arial" w:hAnsi="Arial" w:cs="Arial"/>
                <w:sz w:val="20"/>
                <w:lang w:val="en-GB"/>
              </w:rPr>
              <w:t>47.7</w:t>
            </w:r>
          </w:p>
        </w:tc>
        <w:tc>
          <w:tcPr>
            <w:tcW w:w="2596" w:type="dxa"/>
            <w:tcBorders>
              <w:top w:val="single" w:sz="2" w:space="0" w:color="auto"/>
              <w:left w:val="nil"/>
              <w:bottom w:val="nil"/>
              <w:right w:val="nil"/>
            </w:tcBorders>
            <w:vAlign w:val="center"/>
          </w:tcPr>
          <w:p w14:paraId="6F9F60D3" w14:textId="797B8F61" w:rsidR="004E72B3" w:rsidRPr="004E72B3" w:rsidRDefault="004E72B3" w:rsidP="004E72B3">
            <w:pPr>
              <w:rPr>
                <w:rFonts w:ascii="Arial" w:hAnsi="Arial" w:cs="Arial"/>
                <w:sz w:val="20"/>
                <w:lang w:val="en-GB"/>
              </w:rPr>
            </w:pPr>
            <w:r w:rsidRPr="004E72B3">
              <w:rPr>
                <w:rFonts w:ascii="Arial" w:hAnsi="Arial" w:cs="Arial"/>
                <w:sz w:val="20"/>
                <w:lang w:val="en-GB"/>
              </w:rPr>
              <w:fldChar w:fldCharType="begin"/>
            </w:r>
            <w:r w:rsidR="008C4F1C">
              <w:rPr>
                <w:rFonts w:ascii="Arial" w:hAnsi="Arial" w:cs="Arial"/>
                <w:sz w:val="20"/>
                <w:lang w:val="en-GB"/>
              </w:rPr>
              <w:instrText xml:space="preserve"> ADDIN ZOTERO_ITEM CSL_CITATION {"citationID":"jNxJ0zWi","properties":{"formattedCitation":"\\super 12\\nosupersub{}","plainCitation":"12","noteIndex":0},"citationItems":[{"id":4018,"uris":["http://zotero.org/users/2709798/items/JGRNZVTM"],"uri":["http://zotero.org/users/2709798/items/JGRNZVTM"],"itemData":{"id":4018,"type":"article-journal","abstract":"The continuous measurement of molecular hydrogen (H2) emissions from passively degassing volcanoes has recently been made possible using a new generation of low-cost electrochemical sensors. We have used such sensors to measure H2, along with SO2, H2O and CO2, in the gas and aerosol plume emitted from the phonolite lava lake at Erebus volcano, Antarctica. The measurements were made at the crater rim between December 2010 and January 2011. Combined with measurements of the long-term SO2 emission rate for Erebus, they indicate a characteristic H2 flux of 0.03 kg s–1 (2.8 Mg  day–1). The observed H2 content in the plume is consistent with previous estimates of redox conditions in the lava lake inferred from mineral compositions and the observed CO2/CO ratio in the gas plume (</w:instrText>
            </w:r>
            <w:r w:rsidR="008C4F1C">
              <w:rPr>
                <w:rFonts w:ascii="Cambria Math" w:hAnsi="Cambria Math" w:cs="Cambria Math"/>
                <w:sz w:val="20"/>
                <w:lang w:val="en-GB"/>
              </w:rPr>
              <w:instrText>∼</w:instrText>
            </w:r>
            <w:r w:rsidR="008C4F1C">
              <w:rPr>
                <w:rFonts w:ascii="Arial" w:hAnsi="Arial" w:cs="Arial"/>
                <w:sz w:val="20"/>
                <w:lang w:val="en-GB"/>
              </w:rPr>
              <w:instrText xml:space="preserve">0.9 log units below the quartz–fayalite–magnetite buffer). These measurements suggest that H2 does not combust at the surface of the lake, and that H2 is kinetically inert in the gas/aerosol plume, retaining the signature of the high-temperature chemical equilibrium reached in the lava lake. We also observe a cyclical variation in the H2/SO2 ratio with a period of </w:instrText>
            </w:r>
            <w:r w:rsidR="008C4F1C">
              <w:rPr>
                <w:rFonts w:ascii="Cambria Math" w:hAnsi="Cambria Math" w:cs="Cambria Math"/>
                <w:sz w:val="20"/>
                <w:lang w:val="en-GB"/>
              </w:rPr>
              <w:instrText>∼</w:instrText>
            </w:r>
            <w:r w:rsidR="008C4F1C">
              <w:rPr>
                <w:rFonts w:ascii="Arial" w:hAnsi="Arial" w:cs="Arial"/>
                <w:sz w:val="20"/>
                <w:lang w:val="en-GB"/>
              </w:rPr>
              <w:instrText xml:space="preserve">10 min. These cycles correspond to oscillatory patterns of surface motion of the lava lake that have been interpreted as signs of a pulsatory magma supply at the top of the magmatic conduit.","container-title":"Bulletin of Volcanology","DOI":"10.1007/s00445-012-0649-2","ISSN":"1432-0819","issue":"9","journalAbbreviation":"Bull Volcanol","language":"en","note":"Company: Springer\nDistributor: Springer\nInstitution: Springer\nLabel: Springer\nnumber: 9\npublisher: Springer-Verlag","page":"2109-2120","source":"link.springer.com","title":"Hydrogen emissions from Erebus volcano, Antarctica","volume":"74","author":[{"family":"Moussallam","given":"Yves"},{"family":"Oppenheimer","given":"Clive"},{"family":"Aiuppa","given":"Alessandro"},{"family":"Giudice","given":"Gaetano"},{"family":"Moussallam","given":"Manuel"},{"family":"Kyle","given":"Philip"}],"issued":{"date-parts":[["2012",11,1]]}}}],"schema":"https://github.com/citation-style-language/schema/raw/master/csl-citation.json"} </w:instrText>
            </w:r>
            <w:r w:rsidRPr="004E72B3">
              <w:rPr>
                <w:rFonts w:ascii="Arial" w:hAnsi="Arial" w:cs="Arial"/>
                <w:sz w:val="20"/>
                <w:lang w:val="en-GB"/>
              </w:rPr>
              <w:fldChar w:fldCharType="separate"/>
            </w:r>
            <w:r w:rsidR="008C4F1C" w:rsidRPr="008C4F1C">
              <w:rPr>
                <w:rFonts w:ascii="Arial" w:hAnsi="Arial" w:cs="Arial"/>
                <w:sz w:val="20"/>
                <w:vertAlign w:val="superscript"/>
              </w:rPr>
              <w:t>12</w:t>
            </w:r>
            <w:r w:rsidRPr="004E72B3">
              <w:rPr>
                <w:rFonts w:ascii="Arial" w:hAnsi="Arial" w:cs="Arial"/>
                <w:sz w:val="20"/>
              </w:rPr>
              <w:fldChar w:fldCharType="end"/>
            </w:r>
          </w:p>
        </w:tc>
        <w:tc>
          <w:tcPr>
            <w:tcW w:w="2273" w:type="dxa"/>
            <w:tcBorders>
              <w:top w:val="single" w:sz="2" w:space="0" w:color="auto"/>
              <w:left w:val="nil"/>
              <w:bottom w:val="nil"/>
              <w:right w:val="nil"/>
            </w:tcBorders>
            <w:vAlign w:val="center"/>
          </w:tcPr>
          <w:p w14:paraId="50526B39" w14:textId="77777777" w:rsidR="004E72B3" w:rsidRPr="004E72B3" w:rsidRDefault="004E72B3" w:rsidP="004E72B3">
            <w:pPr>
              <w:rPr>
                <w:rFonts w:ascii="Arial" w:hAnsi="Arial" w:cs="Arial"/>
                <w:sz w:val="20"/>
                <w:lang w:val="en-GB"/>
              </w:rPr>
            </w:pPr>
            <w:r w:rsidRPr="004E72B3">
              <w:rPr>
                <w:rFonts w:ascii="Arial" w:hAnsi="Arial" w:cs="Arial"/>
                <w:sz w:val="20"/>
                <w:lang w:val="en-GB"/>
              </w:rPr>
              <w:t>64.9</w:t>
            </w:r>
          </w:p>
        </w:tc>
      </w:tr>
      <w:tr w:rsidR="004E72B3" w:rsidRPr="004E72B3" w14:paraId="47E3F625" w14:textId="77777777" w:rsidTr="004E72B3">
        <w:tc>
          <w:tcPr>
            <w:tcW w:w="1459" w:type="dxa"/>
            <w:tcBorders>
              <w:top w:val="nil"/>
              <w:left w:val="nil"/>
              <w:bottom w:val="nil"/>
              <w:right w:val="nil"/>
            </w:tcBorders>
            <w:vAlign w:val="center"/>
          </w:tcPr>
          <w:p w14:paraId="5E995657" w14:textId="77777777" w:rsidR="004E72B3" w:rsidRPr="004E72B3" w:rsidRDefault="004E72B3" w:rsidP="004E72B3">
            <w:pPr>
              <w:rPr>
                <w:rFonts w:ascii="Arial" w:hAnsi="Arial" w:cs="Arial"/>
                <w:sz w:val="20"/>
                <w:lang w:val="en-GB"/>
              </w:rPr>
            </w:pPr>
            <w:r w:rsidRPr="004E72B3">
              <w:rPr>
                <w:rFonts w:ascii="Arial" w:hAnsi="Arial" w:cs="Arial"/>
                <w:sz w:val="20"/>
                <w:lang w:val="en-GB"/>
              </w:rPr>
              <w:t>CO</w:t>
            </w:r>
            <w:r w:rsidRPr="004E72B3">
              <w:rPr>
                <w:rFonts w:ascii="Arial" w:hAnsi="Arial" w:cs="Arial"/>
                <w:sz w:val="20"/>
                <w:vertAlign w:val="subscript"/>
                <w:lang w:val="en-GB"/>
              </w:rPr>
              <w:t>2</w:t>
            </w:r>
          </w:p>
        </w:tc>
        <w:tc>
          <w:tcPr>
            <w:tcW w:w="2312" w:type="dxa"/>
            <w:tcBorders>
              <w:top w:val="nil"/>
              <w:left w:val="nil"/>
              <w:bottom w:val="nil"/>
              <w:right w:val="nil"/>
            </w:tcBorders>
            <w:vAlign w:val="center"/>
          </w:tcPr>
          <w:p w14:paraId="3B9222A5" w14:textId="77777777" w:rsidR="004E72B3" w:rsidRPr="004E72B3" w:rsidRDefault="004E72B3" w:rsidP="004E72B3">
            <w:pPr>
              <w:rPr>
                <w:rFonts w:ascii="Arial" w:hAnsi="Arial" w:cs="Arial"/>
                <w:sz w:val="20"/>
                <w:lang w:val="en-GB"/>
              </w:rPr>
            </w:pPr>
            <w:r w:rsidRPr="004E72B3">
              <w:rPr>
                <w:rFonts w:ascii="Arial" w:hAnsi="Arial" w:cs="Arial"/>
                <w:sz w:val="20"/>
                <w:lang w:val="en-GB"/>
              </w:rPr>
              <w:t>43.9</w:t>
            </w:r>
          </w:p>
        </w:tc>
        <w:tc>
          <w:tcPr>
            <w:tcW w:w="2596" w:type="dxa"/>
            <w:tcBorders>
              <w:top w:val="nil"/>
              <w:left w:val="nil"/>
              <w:bottom w:val="nil"/>
              <w:right w:val="nil"/>
            </w:tcBorders>
            <w:vAlign w:val="center"/>
          </w:tcPr>
          <w:p w14:paraId="7047E204" w14:textId="77777777" w:rsidR="004E72B3" w:rsidRPr="004E72B3" w:rsidRDefault="004E72B3" w:rsidP="004E72B3">
            <w:pPr>
              <w:rPr>
                <w:rFonts w:ascii="Arial" w:hAnsi="Arial" w:cs="Arial"/>
                <w:sz w:val="20"/>
                <w:lang w:val="en-GB"/>
              </w:rPr>
            </w:pPr>
            <w:r w:rsidRPr="004E72B3">
              <w:rPr>
                <w:rFonts w:ascii="Arial" w:hAnsi="Arial" w:cs="Arial"/>
                <w:sz w:val="20"/>
                <w:lang w:val="en-GB"/>
              </w:rPr>
              <w:t>"</w:t>
            </w:r>
          </w:p>
        </w:tc>
        <w:tc>
          <w:tcPr>
            <w:tcW w:w="2273" w:type="dxa"/>
            <w:tcBorders>
              <w:top w:val="nil"/>
              <w:left w:val="nil"/>
              <w:bottom w:val="nil"/>
              <w:right w:val="nil"/>
            </w:tcBorders>
            <w:vAlign w:val="center"/>
          </w:tcPr>
          <w:p w14:paraId="10B697A3" w14:textId="77777777" w:rsidR="004E72B3" w:rsidRPr="004E72B3" w:rsidRDefault="004E72B3" w:rsidP="004E72B3">
            <w:pPr>
              <w:rPr>
                <w:rFonts w:ascii="Arial" w:hAnsi="Arial" w:cs="Arial"/>
                <w:sz w:val="20"/>
                <w:lang w:val="en-GB"/>
              </w:rPr>
            </w:pPr>
            <w:r w:rsidRPr="004E72B3">
              <w:rPr>
                <w:rFonts w:ascii="Arial" w:hAnsi="Arial" w:cs="Arial"/>
                <w:sz w:val="20"/>
                <w:lang w:val="en-GB"/>
              </w:rPr>
              <w:t>21.4</w:t>
            </w:r>
          </w:p>
        </w:tc>
      </w:tr>
      <w:tr w:rsidR="004E72B3" w:rsidRPr="004E72B3" w14:paraId="6E065C88" w14:textId="77777777" w:rsidTr="004E72B3">
        <w:tc>
          <w:tcPr>
            <w:tcW w:w="1459" w:type="dxa"/>
            <w:tcBorders>
              <w:top w:val="nil"/>
              <w:left w:val="nil"/>
              <w:bottom w:val="nil"/>
              <w:right w:val="nil"/>
            </w:tcBorders>
            <w:vAlign w:val="center"/>
          </w:tcPr>
          <w:p w14:paraId="0F66D08C" w14:textId="77777777" w:rsidR="004E72B3" w:rsidRPr="004E72B3" w:rsidRDefault="004E72B3" w:rsidP="004E72B3">
            <w:pPr>
              <w:rPr>
                <w:rFonts w:ascii="Arial" w:hAnsi="Arial" w:cs="Arial"/>
                <w:sz w:val="20"/>
                <w:lang w:val="en-GB"/>
              </w:rPr>
            </w:pPr>
            <w:r w:rsidRPr="004E72B3">
              <w:rPr>
                <w:rFonts w:ascii="Arial" w:hAnsi="Arial" w:cs="Arial"/>
                <w:sz w:val="20"/>
                <w:lang w:val="en-GB"/>
              </w:rPr>
              <w:t>CO</w:t>
            </w:r>
          </w:p>
        </w:tc>
        <w:tc>
          <w:tcPr>
            <w:tcW w:w="2312" w:type="dxa"/>
            <w:tcBorders>
              <w:top w:val="nil"/>
              <w:left w:val="nil"/>
              <w:bottom w:val="nil"/>
              <w:right w:val="nil"/>
            </w:tcBorders>
            <w:vAlign w:val="center"/>
          </w:tcPr>
          <w:p w14:paraId="765B3BEF" w14:textId="77777777" w:rsidR="004E72B3" w:rsidRPr="004E72B3" w:rsidRDefault="004E72B3" w:rsidP="004E72B3">
            <w:pPr>
              <w:rPr>
                <w:rFonts w:ascii="Arial" w:hAnsi="Arial" w:cs="Arial"/>
                <w:sz w:val="20"/>
                <w:lang w:val="en-GB"/>
              </w:rPr>
            </w:pPr>
            <w:r w:rsidRPr="004E72B3">
              <w:rPr>
                <w:rFonts w:ascii="Arial" w:hAnsi="Arial" w:cs="Arial"/>
                <w:sz w:val="20"/>
                <w:lang w:val="en-GB"/>
              </w:rPr>
              <w:t>3.3</w:t>
            </w:r>
          </w:p>
        </w:tc>
        <w:tc>
          <w:tcPr>
            <w:tcW w:w="2596" w:type="dxa"/>
            <w:tcBorders>
              <w:top w:val="nil"/>
              <w:left w:val="nil"/>
              <w:bottom w:val="nil"/>
              <w:right w:val="nil"/>
            </w:tcBorders>
            <w:vAlign w:val="center"/>
          </w:tcPr>
          <w:p w14:paraId="25173F0E" w14:textId="77777777" w:rsidR="004E72B3" w:rsidRPr="004E72B3" w:rsidRDefault="004E72B3" w:rsidP="004E72B3">
            <w:pPr>
              <w:rPr>
                <w:rFonts w:ascii="Arial" w:hAnsi="Arial" w:cs="Arial"/>
                <w:sz w:val="20"/>
                <w:lang w:val="en-GB"/>
              </w:rPr>
            </w:pPr>
            <w:r w:rsidRPr="004E72B3">
              <w:rPr>
                <w:rFonts w:ascii="Arial" w:hAnsi="Arial" w:cs="Arial"/>
                <w:sz w:val="20"/>
                <w:lang w:val="en-GB"/>
              </w:rPr>
              <w:t>"</w:t>
            </w:r>
          </w:p>
        </w:tc>
        <w:tc>
          <w:tcPr>
            <w:tcW w:w="2273" w:type="dxa"/>
            <w:tcBorders>
              <w:top w:val="nil"/>
              <w:left w:val="nil"/>
              <w:bottom w:val="nil"/>
              <w:right w:val="nil"/>
            </w:tcBorders>
            <w:vAlign w:val="center"/>
          </w:tcPr>
          <w:p w14:paraId="07DAC00D" w14:textId="77777777" w:rsidR="004E72B3" w:rsidRPr="004E72B3" w:rsidRDefault="004E72B3" w:rsidP="004E72B3">
            <w:pPr>
              <w:rPr>
                <w:rFonts w:ascii="Arial" w:hAnsi="Arial" w:cs="Arial"/>
                <w:sz w:val="20"/>
                <w:lang w:val="en-GB"/>
              </w:rPr>
            </w:pPr>
            <w:r w:rsidRPr="004E72B3">
              <w:rPr>
                <w:rFonts w:ascii="Arial" w:hAnsi="Arial" w:cs="Arial"/>
                <w:sz w:val="20"/>
                <w:lang w:val="en-GB"/>
              </w:rPr>
              <w:t>0.3</w:t>
            </w:r>
          </w:p>
        </w:tc>
      </w:tr>
      <w:tr w:rsidR="004E72B3" w:rsidRPr="004E72B3" w14:paraId="5DC49F91" w14:textId="77777777" w:rsidTr="004E72B3">
        <w:tc>
          <w:tcPr>
            <w:tcW w:w="1459" w:type="dxa"/>
            <w:tcBorders>
              <w:top w:val="nil"/>
              <w:left w:val="nil"/>
              <w:bottom w:val="nil"/>
              <w:right w:val="nil"/>
            </w:tcBorders>
            <w:vAlign w:val="center"/>
          </w:tcPr>
          <w:p w14:paraId="0518B4E3" w14:textId="77777777" w:rsidR="004E72B3" w:rsidRPr="004E72B3" w:rsidRDefault="004E72B3" w:rsidP="004E72B3">
            <w:pPr>
              <w:rPr>
                <w:rFonts w:ascii="Arial" w:hAnsi="Arial" w:cs="Arial"/>
                <w:sz w:val="20"/>
                <w:lang w:val="en-GB"/>
              </w:rPr>
            </w:pPr>
            <w:r w:rsidRPr="004E72B3">
              <w:rPr>
                <w:rFonts w:ascii="Arial" w:hAnsi="Arial" w:cs="Arial"/>
                <w:sz w:val="20"/>
                <w:lang w:val="en-GB"/>
              </w:rPr>
              <w:t>H</w:t>
            </w:r>
            <w:r w:rsidRPr="004E72B3">
              <w:rPr>
                <w:rFonts w:ascii="Arial" w:hAnsi="Arial" w:cs="Arial"/>
                <w:sz w:val="20"/>
                <w:vertAlign w:val="subscript"/>
                <w:lang w:val="en-GB"/>
              </w:rPr>
              <w:t>2</w:t>
            </w:r>
          </w:p>
        </w:tc>
        <w:tc>
          <w:tcPr>
            <w:tcW w:w="2312" w:type="dxa"/>
            <w:tcBorders>
              <w:top w:val="nil"/>
              <w:left w:val="nil"/>
              <w:bottom w:val="nil"/>
              <w:right w:val="nil"/>
            </w:tcBorders>
            <w:vAlign w:val="center"/>
          </w:tcPr>
          <w:p w14:paraId="1FE01619" w14:textId="77777777" w:rsidR="004E72B3" w:rsidRPr="004E72B3" w:rsidRDefault="004E72B3" w:rsidP="004E72B3">
            <w:pPr>
              <w:rPr>
                <w:rFonts w:ascii="Arial" w:hAnsi="Arial" w:cs="Arial"/>
                <w:sz w:val="20"/>
                <w:lang w:val="en-GB"/>
              </w:rPr>
            </w:pPr>
            <w:r w:rsidRPr="004E72B3">
              <w:rPr>
                <w:rFonts w:ascii="Arial" w:hAnsi="Arial" w:cs="Arial"/>
                <w:sz w:val="20"/>
                <w:lang w:val="en-GB"/>
              </w:rPr>
              <w:t>1.6</w:t>
            </w:r>
          </w:p>
        </w:tc>
        <w:tc>
          <w:tcPr>
            <w:tcW w:w="2596" w:type="dxa"/>
            <w:tcBorders>
              <w:top w:val="nil"/>
              <w:left w:val="nil"/>
              <w:bottom w:val="nil"/>
              <w:right w:val="nil"/>
            </w:tcBorders>
            <w:vAlign w:val="center"/>
          </w:tcPr>
          <w:p w14:paraId="72BC884F" w14:textId="77777777" w:rsidR="004E72B3" w:rsidRPr="004E72B3" w:rsidRDefault="004E72B3" w:rsidP="004E72B3">
            <w:pPr>
              <w:rPr>
                <w:rFonts w:ascii="Arial" w:hAnsi="Arial" w:cs="Arial"/>
                <w:sz w:val="20"/>
                <w:lang w:val="en-GB"/>
              </w:rPr>
            </w:pPr>
            <w:r w:rsidRPr="004E72B3">
              <w:rPr>
                <w:rFonts w:ascii="Arial" w:hAnsi="Arial" w:cs="Arial"/>
                <w:sz w:val="20"/>
                <w:lang w:val="en-GB"/>
              </w:rPr>
              <w:t>"</w:t>
            </w:r>
          </w:p>
        </w:tc>
        <w:tc>
          <w:tcPr>
            <w:tcW w:w="2273" w:type="dxa"/>
            <w:tcBorders>
              <w:top w:val="nil"/>
              <w:left w:val="nil"/>
              <w:bottom w:val="nil"/>
              <w:right w:val="nil"/>
            </w:tcBorders>
            <w:vAlign w:val="center"/>
          </w:tcPr>
          <w:p w14:paraId="45C626A0" w14:textId="77777777" w:rsidR="004E72B3" w:rsidRPr="004E72B3" w:rsidRDefault="004E72B3" w:rsidP="004E72B3">
            <w:pPr>
              <w:rPr>
                <w:rFonts w:ascii="Arial" w:hAnsi="Arial" w:cs="Arial"/>
                <w:sz w:val="20"/>
                <w:lang w:val="en-GB"/>
              </w:rPr>
            </w:pPr>
            <w:r w:rsidRPr="004E72B3">
              <w:rPr>
                <w:rFonts w:ascii="Arial" w:hAnsi="Arial" w:cs="Arial"/>
                <w:sz w:val="20"/>
                <w:lang w:val="en-GB"/>
              </w:rPr>
              <w:t>0.7</w:t>
            </w:r>
          </w:p>
        </w:tc>
      </w:tr>
      <w:tr w:rsidR="004E72B3" w:rsidRPr="004E72B3" w14:paraId="537104AB" w14:textId="77777777" w:rsidTr="004E72B3">
        <w:tc>
          <w:tcPr>
            <w:tcW w:w="1459" w:type="dxa"/>
            <w:tcBorders>
              <w:top w:val="nil"/>
              <w:left w:val="nil"/>
              <w:bottom w:val="nil"/>
              <w:right w:val="nil"/>
            </w:tcBorders>
            <w:vAlign w:val="center"/>
          </w:tcPr>
          <w:p w14:paraId="5B2A568A" w14:textId="77777777" w:rsidR="004E72B3" w:rsidRPr="004E72B3" w:rsidRDefault="004E72B3" w:rsidP="004E72B3">
            <w:pPr>
              <w:rPr>
                <w:rFonts w:ascii="Arial" w:hAnsi="Arial" w:cs="Arial"/>
                <w:sz w:val="20"/>
                <w:lang w:val="en-GB"/>
              </w:rPr>
            </w:pPr>
            <w:r w:rsidRPr="004E72B3">
              <w:rPr>
                <w:rFonts w:ascii="Arial" w:hAnsi="Arial" w:cs="Arial"/>
                <w:sz w:val="20"/>
                <w:lang w:val="en-GB"/>
              </w:rPr>
              <w:t>HCl</w:t>
            </w:r>
          </w:p>
        </w:tc>
        <w:tc>
          <w:tcPr>
            <w:tcW w:w="2312" w:type="dxa"/>
            <w:tcBorders>
              <w:top w:val="nil"/>
              <w:left w:val="nil"/>
              <w:bottom w:val="nil"/>
              <w:right w:val="nil"/>
            </w:tcBorders>
            <w:vAlign w:val="center"/>
          </w:tcPr>
          <w:p w14:paraId="0246D64F" w14:textId="77777777" w:rsidR="004E72B3" w:rsidRPr="004E72B3" w:rsidRDefault="004E72B3" w:rsidP="004E72B3">
            <w:pPr>
              <w:rPr>
                <w:rFonts w:ascii="Arial" w:hAnsi="Arial" w:cs="Arial"/>
                <w:sz w:val="20"/>
                <w:lang w:val="en-GB"/>
              </w:rPr>
            </w:pPr>
            <w:r w:rsidRPr="004E72B3">
              <w:rPr>
                <w:rFonts w:ascii="Arial" w:hAnsi="Arial" w:cs="Arial"/>
                <w:sz w:val="20"/>
                <w:lang w:val="en-GB"/>
              </w:rPr>
              <w:t>1.6</w:t>
            </w:r>
          </w:p>
        </w:tc>
        <w:tc>
          <w:tcPr>
            <w:tcW w:w="2596" w:type="dxa"/>
            <w:tcBorders>
              <w:top w:val="nil"/>
              <w:left w:val="nil"/>
              <w:bottom w:val="nil"/>
              <w:right w:val="nil"/>
            </w:tcBorders>
            <w:vAlign w:val="center"/>
          </w:tcPr>
          <w:p w14:paraId="729856EF" w14:textId="77777777" w:rsidR="004E72B3" w:rsidRPr="004E72B3" w:rsidRDefault="004E72B3" w:rsidP="004E72B3">
            <w:pPr>
              <w:rPr>
                <w:rFonts w:ascii="Arial" w:hAnsi="Arial" w:cs="Arial"/>
                <w:sz w:val="20"/>
                <w:lang w:val="en-GB"/>
              </w:rPr>
            </w:pPr>
            <w:r w:rsidRPr="004E72B3">
              <w:rPr>
                <w:rFonts w:ascii="Arial" w:hAnsi="Arial" w:cs="Arial"/>
                <w:sz w:val="20"/>
                <w:lang w:val="en-GB"/>
              </w:rPr>
              <w:t>Mt. Takahe S/Cl ratio</w:t>
            </w:r>
          </w:p>
        </w:tc>
        <w:tc>
          <w:tcPr>
            <w:tcW w:w="2273" w:type="dxa"/>
            <w:tcBorders>
              <w:top w:val="nil"/>
              <w:left w:val="nil"/>
              <w:bottom w:val="nil"/>
              <w:right w:val="nil"/>
            </w:tcBorders>
            <w:vAlign w:val="center"/>
          </w:tcPr>
          <w:p w14:paraId="594BFE8B" w14:textId="77777777" w:rsidR="004E72B3" w:rsidRPr="004E72B3" w:rsidRDefault="004E72B3" w:rsidP="004E72B3">
            <w:pPr>
              <w:rPr>
                <w:rFonts w:ascii="Arial" w:hAnsi="Arial" w:cs="Arial"/>
                <w:sz w:val="20"/>
                <w:lang w:val="en-GB"/>
              </w:rPr>
            </w:pPr>
            <w:r w:rsidRPr="004E72B3">
              <w:rPr>
                <w:rFonts w:ascii="Arial" w:hAnsi="Arial" w:cs="Arial"/>
                <w:sz w:val="20"/>
                <w:lang w:val="en-GB"/>
              </w:rPr>
              <w:t>0.5</w:t>
            </w:r>
          </w:p>
        </w:tc>
      </w:tr>
      <w:tr w:rsidR="004E72B3" w:rsidRPr="004E72B3" w14:paraId="1FE64A4E" w14:textId="77777777" w:rsidTr="004E72B3">
        <w:tc>
          <w:tcPr>
            <w:tcW w:w="1459" w:type="dxa"/>
            <w:tcBorders>
              <w:top w:val="nil"/>
              <w:left w:val="nil"/>
              <w:bottom w:val="nil"/>
              <w:right w:val="nil"/>
            </w:tcBorders>
            <w:vAlign w:val="center"/>
          </w:tcPr>
          <w:p w14:paraId="31CCFCB9" w14:textId="77777777" w:rsidR="004E72B3" w:rsidRPr="004E72B3" w:rsidRDefault="004E72B3" w:rsidP="004E72B3">
            <w:pPr>
              <w:rPr>
                <w:rFonts w:ascii="Arial" w:hAnsi="Arial" w:cs="Arial"/>
                <w:sz w:val="20"/>
                <w:lang w:val="en-GB"/>
              </w:rPr>
            </w:pPr>
            <w:r w:rsidRPr="004E72B3">
              <w:rPr>
                <w:rFonts w:ascii="Arial" w:hAnsi="Arial" w:cs="Arial"/>
                <w:sz w:val="20"/>
                <w:lang w:val="en-GB"/>
              </w:rPr>
              <w:t>SO</w:t>
            </w:r>
            <w:r w:rsidRPr="004E72B3">
              <w:rPr>
                <w:rFonts w:ascii="Arial" w:hAnsi="Arial" w:cs="Arial"/>
                <w:sz w:val="20"/>
                <w:vertAlign w:val="subscript"/>
                <w:lang w:val="en-GB"/>
              </w:rPr>
              <w:t>2</w:t>
            </w:r>
          </w:p>
        </w:tc>
        <w:tc>
          <w:tcPr>
            <w:tcW w:w="2312" w:type="dxa"/>
            <w:tcBorders>
              <w:top w:val="nil"/>
              <w:left w:val="nil"/>
              <w:bottom w:val="nil"/>
              <w:right w:val="nil"/>
            </w:tcBorders>
            <w:vAlign w:val="center"/>
          </w:tcPr>
          <w:p w14:paraId="20080E90" w14:textId="77777777" w:rsidR="004E72B3" w:rsidRPr="004E72B3" w:rsidRDefault="004E72B3" w:rsidP="004E72B3">
            <w:pPr>
              <w:rPr>
                <w:rFonts w:ascii="Arial" w:hAnsi="Arial" w:cs="Arial"/>
                <w:sz w:val="20"/>
                <w:lang w:val="en-GB"/>
              </w:rPr>
            </w:pPr>
            <w:r w:rsidRPr="004E72B3">
              <w:rPr>
                <w:rFonts w:ascii="Arial" w:hAnsi="Arial" w:cs="Arial"/>
                <w:sz w:val="20"/>
                <w:lang w:val="en-GB"/>
              </w:rPr>
              <w:t>1.1</w:t>
            </w:r>
          </w:p>
        </w:tc>
        <w:tc>
          <w:tcPr>
            <w:tcW w:w="2596" w:type="dxa"/>
            <w:tcBorders>
              <w:top w:val="nil"/>
              <w:left w:val="nil"/>
              <w:bottom w:val="nil"/>
              <w:right w:val="nil"/>
            </w:tcBorders>
            <w:vAlign w:val="center"/>
          </w:tcPr>
          <w:p w14:paraId="70237D7B" w14:textId="0503351D" w:rsidR="004E72B3" w:rsidRPr="004E72B3" w:rsidRDefault="004E72B3" w:rsidP="004E72B3">
            <w:pPr>
              <w:rPr>
                <w:rFonts w:ascii="Arial" w:hAnsi="Arial" w:cs="Arial"/>
                <w:sz w:val="20"/>
                <w:lang w:val="en-GB"/>
              </w:rPr>
            </w:pPr>
            <w:r w:rsidRPr="004E72B3">
              <w:rPr>
                <w:rFonts w:ascii="Arial" w:hAnsi="Arial" w:cs="Arial"/>
                <w:sz w:val="20"/>
                <w:lang w:val="en-GB"/>
              </w:rPr>
              <w:fldChar w:fldCharType="begin"/>
            </w:r>
            <w:r w:rsidR="008C4F1C">
              <w:rPr>
                <w:rFonts w:ascii="Arial" w:hAnsi="Arial" w:cs="Arial"/>
                <w:sz w:val="20"/>
                <w:lang w:val="en-GB"/>
              </w:rPr>
              <w:instrText xml:space="preserve"> ADDIN ZOTERO_ITEM CSL_CITATION {"citationID":"ibSpRTHb","properties":{"formattedCitation":"\\super 12\\nosupersub{}","plainCitation":"12","noteIndex":0},"citationItems":[{"id":4018,"uris":["http://zotero.org/users/2709798/items/JGRNZVTM"],"uri":["http://zotero.org/users/2709798/items/JGRNZVTM"],"itemData":{"id":4018,"type":"article-journal","abstract":"The continuous measurement of molecular hydrogen (H2) emissions from passively degassing volcanoes has recently been made possible using a new generation of low-cost electrochemical sensors. We have used such sensors to measure H2, along with SO2, H2O and CO2, in the gas and aerosol plume emitted from the phonolite lava lake at Erebus volcano, Antarctica. The measurements were made at the crater rim between December 2010 and January 2011. Combined with measurements of the long-term SO2 emission rate for Erebus, they indicate a characteristic H2 flux of 0.03 kg s–1 (2.8 Mg  day–1). The observed H2 content in the plume is consistent with previous estimates of redox conditions in the lava lake inferred from mineral compositions and the observed CO2/CO ratio in the gas plume (</w:instrText>
            </w:r>
            <w:r w:rsidR="008C4F1C">
              <w:rPr>
                <w:rFonts w:ascii="Cambria Math" w:hAnsi="Cambria Math" w:cs="Cambria Math"/>
                <w:sz w:val="20"/>
                <w:lang w:val="en-GB"/>
              </w:rPr>
              <w:instrText>∼</w:instrText>
            </w:r>
            <w:r w:rsidR="008C4F1C">
              <w:rPr>
                <w:rFonts w:ascii="Arial" w:hAnsi="Arial" w:cs="Arial"/>
                <w:sz w:val="20"/>
                <w:lang w:val="en-GB"/>
              </w:rPr>
              <w:instrText xml:space="preserve">0.9 log units below the quartz–fayalite–magnetite buffer). These measurements suggest that H2 does not combust at the surface of the lake, and that H2 is kinetically inert in the gas/aerosol plume, retaining the signature of the high-temperature chemical equilibrium reached in the lava lake. We also observe a cyclical variation in the H2/SO2 ratio with a period of </w:instrText>
            </w:r>
            <w:r w:rsidR="008C4F1C">
              <w:rPr>
                <w:rFonts w:ascii="Cambria Math" w:hAnsi="Cambria Math" w:cs="Cambria Math"/>
                <w:sz w:val="20"/>
                <w:lang w:val="en-GB"/>
              </w:rPr>
              <w:instrText>∼</w:instrText>
            </w:r>
            <w:r w:rsidR="008C4F1C">
              <w:rPr>
                <w:rFonts w:ascii="Arial" w:hAnsi="Arial" w:cs="Arial"/>
                <w:sz w:val="20"/>
                <w:lang w:val="en-GB"/>
              </w:rPr>
              <w:instrText xml:space="preserve">10 min. These cycles correspond to oscillatory patterns of surface motion of the lava lake that have been interpreted as signs of a pulsatory magma supply at the top of the magmatic conduit.","container-title":"Bulletin of Volcanology","DOI":"10.1007/s00445-012-0649-2","ISSN":"1432-0819","issue":"9","journalAbbreviation":"Bull Volcanol","language":"en","note":"Company: Springer\nDistributor: Springer\nInstitution: Springer\nLabel: Springer\nnumber: 9\npublisher: Springer-Verlag","page":"2109-2120","source":"link.springer.com","title":"Hydrogen emissions from Erebus volcano, Antarctica","volume":"74","author":[{"family":"Moussallam","given":"Yves"},{"family":"Oppenheimer","given":"Clive"},{"family":"Aiuppa","given":"Alessandro"},{"family":"Giudice","given":"Gaetano"},{"family":"Moussallam","given":"Manuel"},{"family":"Kyle","given":"Philip"}],"issued":{"date-parts":[["2012",11,1]]}}}],"schema":"https://github.com/citation-style-language/schema/raw/master/csl-citation.json"} </w:instrText>
            </w:r>
            <w:r w:rsidRPr="004E72B3">
              <w:rPr>
                <w:rFonts w:ascii="Arial" w:hAnsi="Arial" w:cs="Arial"/>
                <w:sz w:val="20"/>
                <w:lang w:val="en-GB"/>
              </w:rPr>
              <w:fldChar w:fldCharType="separate"/>
            </w:r>
            <w:r w:rsidR="008C4F1C" w:rsidRPr="008C4F1C">
              <w:rPr>
                <w:rFonts w:ascii="Arial" w:hAnsi="Arial" w:cs="Arial"/>
                <w:sz w:val="20"/>
                <w:vertAlign w:val="superscript"/>
              </w:rPr>
              <w:t>12</w:t>
            </w:r>
            <w:r w:rsidRPr="004E72B3">
              <w:rPr>
                <w:rFonts w:ascii="Arial" w:hAnsi="Arial" w:cs="Arial"/>
                <w:sz w:val="20"/>
              </w:rPr>
              <w:fldChar w:fldCharType="end"/>
            </w:r>
          </w:p>
        </w:tc>
        <w:tc>
          <w:tcPr>
            <w:tcW w:w="2273" w:type="dxa"/>
            <w:tcBorders>
              <w:top w:val="nil"/>
              <w:left w:val="nil"/>
              <w:bottom w:val="nil"/>
              <w:right w:val="nil"/>
            </w:tcBorders>
            <w:vAlign w:val="center"/>
          </w:tcPr>
          <w:p w14:paraId="1C91C95A" w14:textId="77777777" w:rsidR="004E72B3" w:rsidRPr="004E72B3" w:rsidRDefault="004E72B3" w:rsidP="004E72B3">
            <w:pPr>
              <w:rPr>
                <w:rFonts w:ascii="Arial" w:hAnsi="Arial" w:cs="Arial"/>
                <w:sz w:val="20"/>
                <w:lang w:val="en-GB"/>
              </w:rPr>
            </w:pPr>
            <w:r w:rsidRPr="004E72B3">
              <w:rPr>
                <w:rFonts w:ascii="Arial" w:hAnsi="Arial" w:cs="Arial"/>
                <w:sz w:val="20"/>
                <w:lang w:val="en-GB"/>
              </w:rPr>
              <w:t>11.3</w:t>
            </w:r>
          </w:p>
        </w:tc>
      </w:tr>
      <w:tr w:rsidR="004E72B3" w:rsidRPr="004E72B3" w14:paraId="0515325C" w14:textId="77777777" w:rsidTr="004E72B3">
        <w:tc>
          <w:tcPr>
            <w:tcW w:w="1459" w:type="dxa"/>
            <w:tcBorders>
              <w:top w:val="nil"/>
              <w:left w:val="nil"/>
              <w:bottom w:val="nil"/>
              <w:right w:val="nil"/>
            </w:tcBorders>
            <w:vAlign w:val="center"/>
          </w:tcPr>
          <w:p w14:paraId="60BD462F" w14:textId="77777777" w:rsidR="004E72B3" w:rsidRPr="004E72B3" w:rsidRDefault="004E72B3" w:rsidP="004E72B3">
            <w:pPr>
              <w:rPr>
                <w:rFonts w:ascii="Arial" w:hAnsi="Arial" w:cs="Arial"/>
                <w:sz w:val="20"/>
                <w:lang w:val="en-GB"/>
              </w:rPr>
            </w:pPr>
            <w:r w:rsidRPr="004E72B3">
              <w:rPr>
                <w:rFonts w:ascii="Arial" w:hAnsi="Arial" w:cs="Arial"/>
                <w:sz w:val="20"/>
                <w:lang w:val="en-GB"/>
              </w:rPr>
              <w:t>H</w:t>
            </w:r>
            <w:r w:rsidRPr="004E72B3">
              <w:rPr>
                <w:rFonts w:ascii="Arial" w:hAnsi="Arial" w:cs="Arial"/>
                <w:sz w:val="20"/>
                <w:vertAlign w:val="subscript"/>
                <w:lang w:val="en-GB"/>
              </w:rPr>
              <w:t>2</w:t>
            </w:r>
            <w:r w:rsidRPr="004E72B3">
              <w:rPr>
                <w:rFonts w:ascii="Arial" w:hAnsi="Arial" w:cs="Arial"/>
                <w:sz w:val="20"/>
                <w:lang w:val="en-GB"/>
              </w:rPr>
              <w:t>S</w:t>
            </w:r>
          </w:p>
        </w:tc>
        <w:tc>
          <w:tcPr>
            <w:tcW w:w="2312" w:type="dxa"/>
            <w:tcBorders>
              <w:top w:val="nil"/>
              <w:left w:val="nil"/>
              <w:bottom w:val="nil"/>
              <w:right w:val="nil"/>
            </w:tcBorders>
            <w:vAlign w:val="center"/>
          </w:tcPr>
          <w:p w14:paraId="583A6D96" w14:textId="77777777" w:rsidR="004E72B3" w:rsidRPr="004E72B3" w:rsidRDefault="004E72B3" w:rsidP="004E72B3">
            <w:pPr>
              <w:rPr>
                <w:rFonts w:ascii="Arial" w:hAnsi="Arial" w:cs="Arial"/>
                <w:sz w:val="20"/>
                <w:lang w:val="en-GB"/>
              </w:rPr>
            </w:pPr>
            <w:r w:rsidRPr="004E72B3">
              <w:rPr>
                <w:rFonts w:ascii="Arial" w:hAnsi="Arial" w:cs="Arial"/>
                <w:sz w:val="20"/>
                <w:lang w:val="en-GB"/>
              </w:rPr>
              <w:t>0.6</w:t>
            </w:r>
          </w:p>
        </w:tc>
        <w:tc>
          <w:tcPr>
            <w:tcW w:w="2596" w:type="dxa"/>
            <w:tcBorders>
              <w:top w:val="nil"/>
              <w:left w:val="nil"/>
              <w:bottom w:val="nil"/>
              <w:right w:val="nil"/>
            </w:tcBorders>
            <w:vAlign w:val="center"/>
          </w:tcPr>
          <w:p w14:paraId="548AFEA4" w14:textId="77777777" w:rsidR="004E72B3" w:rsidRPr="004E72B3" w:rsidRDefault="004E72B3" w:rsidP="004E72B3">
            <w:pPr>
              <w:rPr>
                <w:rFonts w:ascii="Arial" w:hAnsi="Arial" w:cs="Arial"/>
                <w:sz w:val="20"/>
                <w:lang w:val="en-GB"/>
              </w:rPr>
            </w:pPr>
            <w:r w:rsidRPr="004E72B3">
              <w:rPr>
                <w:rFonts w:ascii="Arial" w:hAnsi="Arial" w:cs="Arial"/>
                <w:sz w:val="20"/>
                <w:lang w:val="en-GB"/>
              </w:rPr>
              <w:t>"</w:t>
            </w:r>
          </w:p>
        </w:tc>
        <w:tc>
          <w:tcPr>
            <w:tcW w:w="2273" w:type="dxa"/>
            <w:tcBorders>
              <w:top w:val="nil"/>
              <w:left w:val="nil"/>
              <w:bottom w:val="nil"/>
              <w:right w:val="nil"/>
            </w:tcBorders>
            <w:vAlign w:val="center"/>
          </w:tcPr>
          <w:p w14:paraId="7357A9AC" w14:textId="77777777" w:rsidR="004E72B3" w:rsidRPr="004E72B3" w:rsidRDefault="004E72B3" w:rsidP="004E72B3">
            <w:pPr>
              <w:rPr>
                <w:rFonts w:ascii="Arial" w:hAnsi="Arial" w:cs="Arial"/>
                <w:sz w:val="20"/>
                <w:lang w:val="en-GB"/>
              </w:rPr>
            </w:pPr>
            <w:r w:rsidRPr="004E72B3">
              <w:rPr>
                <w:rFonts w:ascii="Arial" w:hAnsi="Arial" w:cs="Arial"/>
                <w:sz w:val="20"/>
                <w:lang w:val="en-GB"/>
              </w:rPr>
              <w:t>0.6</w:t>
            </w:r>
          </w:p>
        </w:tc>
      </w:tr>
      <w:tr w:rsidR="004E72B3" w:rsidRPr="004E72B3" w14:paraId="2B37E99E" w14:textId="77777777" w:rsidTr="004E72B3">
        <w:tc>
          <w:tcPr>
            <w:tcW w:w="1459" w:type="dxa"/>
            <w:tcBorders>
              <w:top w:val="nil"/>
              <w:left w:val="nil"/>
              <w:bottom w:val="nil"/>
              <w:right w:val="nil"/>
            </w:tcBorders>
            <w:vAlign w:val="center"/>
          </w:tcPr>
          <w:p w14:paraId="1939A51A" w14:textId="77777777" w:rsidR="004E72B3" w:rsidRPr="004E72B3" w:rsidRDefault="004E72B3" w:rsidP="004E72B3">
            <w:pPr>
              <w:rPr>
                <w:rFonts w:ascii="Arial" w:hAnsi="Arial" w:cs="Arial"/>
                <w:sz w:val="20"/>
                <w:lang w:val="en-GB"/>
              </w:rPr>
            </w:pPr>
            <w:r w:rsidRPr="004E72B3">
              <w:rPr>
                <w:rFonts w:ascii="Arial" w:hAnsi="Arial" w:cs="Arial"/>
                <w:sz w:val="20"/>
                <w:lang w:val="en-GB"/>
              </w:rPr>
              <w:t>HF</w:t>
            </w:r>
          </w:p>
        </w:tc>
        <w:tc>
          <w:tcPr>
            <w:tcW w:w="2312" w:type="dxa"/>
            <w:tcBorders>
              <w:top w:val="nil"/>
              <w:left w:val="nil"/>
              <w:bottom w:val="nil"/>
              <w:right w:val="nil"/>
            </w:tcBorders>
            <w:vAlign w:val="center"/>
          </w:tcPr>
          <w:p w14:paraId="537F9A54" w14:textId="77777777" w:rsidR="004E72B3" w:rsidRPr="004E72B3" w:rsidRDefault="004E72B3" w:rsidP="004E72B3">
            <w:pPr>
              <w:rPr>
                <w:rFonts w:ascii="Arial" w:hAnsi="Arial" w:cs="Arial"/>
                <w:sz w:val="20"/>
                <w:lang w:val="en-GB"/>
              </w:rPr>
            </w:pPr>
            <w:r w:rsidRPr="004E72B3">
              <w:rPr>
                <w:rFonts w:ascii="Arial" w:hAnsi="Arial" w:cs="Arial"/>
                <w:sz w:val="20"/>
                <w:lang w:val="en-GB"/>
              </w:rPr>
              <w:t>0.3</w:t>
            </w:r>
          </w:p>
        </w:tc>
        <w:tc>
          <w:tcPr>
            <w:tcW w:w="2596" w:type="dxa"/>
            <w:tcBorders>
              <w:top w:val="nil"/>
              <w:left w:val="nil"/>
              <w:bottom w:val="nil"/>
              <w:right w:val="nil"/>
            </w:tcBorders>
            <w:vAlign w:val="center"/>
          </w:tcPr>
          <w:p w14:paraId="61507815" w14:textId="77777777" w:rsidR="004E72B3" w:rsidRPr="004E72B3" w:rsidRDefault="004E72B3" w:rsidP="004E72B3">
            <w:pPr>
              <w:rPr>
                <w:rFonts w:ascii="Arial" w:hAnsi="Arial" w:cs="Arial"/>
                <w:sz w:val="20"/>
                <w:lang w:val="en-GB"/>
              </w:rPr>
            </w:pPr>
            <w:r w:rsidRPr="004E72B3">
              <w:rPr>
                <w:rFonts w:ascii="Arial" w:hAnsi="Arial" w:cs="Arial"/>
                <w:sz w:val="20"/>
                <w:lang w:val="en-GB"/>
              </w:rPr>
              <w:t>Mt. Takahe Cl/F ratio</w:t>
            </w:r>
          </w:p>
        </w:tc>
        <w:tc>
          <w:tcPr>
            <w:tcW w:w="2273" w:type="dxa"/>
            <w:tcBorders>
              <w:top w:val="nil"/>
              <w:left w:val="nil"/>
              <w:bottom w:val="nil"/>
              <w:right w:val="nil"/>
            </w:tcBorders>
            <w:vAlign w:val="center"/>
          </w:tcPr>
          <w:p w14:paraId="671BA939" w14:textId="77777777" w:rsidR="004E72B3" w:rsidRPr="004E72B3" w:rsidRDefault="004E72B3" w:rsidP="004E72B3">
            <w:pPr>
              <w:rPr>
                <w:rFonts w:ascii="Arial" w:hAnsi="Arial" w:cs="Arial"/>
                <w:sz w:val="20"/>
                <w:lang w:val="en-GB"/>
              </w:rPr>
            </w:pPr>
            <w:r w:rsidRPr="004E72B3">
              <w:rPr>
                <w:rFonts w:ascii="Arial" w:hAnsi="Arial" w:cs="Arial"/>
                <w:sz w:val="20"/>
                <w:lang w:val="en-GB"/>
              </w:rPr>
              <w:t>0.4</w:t>
            </w:r>
          </w:p>
        </w:tc>
      </w:tr>
      <w:tr w:rsidR="004E72B3" w:rsidRPr="004E72B3" w14:paraId="6C2437A5" w14:textId="77777777" w:rsidTr="004E72B3">
        <w:tc>
          <w:tcPr>
            <w:tcW w:w="1459" w:type="dxa"/>
            <w:tcBorders>
              <w:top w:val="nil"/>
              <w:left w:val="nil"/>
              <w:bottom w:val="nil"/>
              <w:right w:val="nil"/>
            </w:tcBorders>
            <w:vAlign w:val="center"/>
          </w:tcPr>
          <w:p w14:paraId="1B0A1A2F" w14:textId="77777777" w:rsidR="004E72B3" w:rsidRPr="004E72B3" w:rsidRDefault="004E72B3" w:rsidP="004E72B3">
            <w:pPr>
              <w:rPr>
                <w:rFonts w:ascii="Arial" w:hAnsi="Arial" w:cs="Arial"/>
                <w:sz w:val="20"/>
                <w:lang w:val="en-GB"/>
              </w:rPr>
            </w:pPr>
            <w:r w:rsidRPr="004E72B3">
              <w:rPr>
                <w:rFonts w:ascii="Arial" w:hAnsi="Arial" w:cs="Arial"/>
                <w:sz w:val="20"/>
                <w:lang w:val="en-GB"/>
              </w:rPr>
              <w:t>OCS</w:t>
            </w:r>
          </w:p>
        </w:tc>
        <w:tc>
          <w:tcPr>
            <w:tcW w:w="2312" w:type="dxa"/>
            <w:tcBorders>
              <w:top w:val="nil"/>
              <w:left w:val="nil"/>
              <w:bottom w:val="nil"/>
              <w:right w:val="nil"/>
            </w:tcBorders>
            <w:vAlign w:val="center"/>
          </w:tcPr>
          <w:p w14:paraId="6D9B30FF" w14:textId="77777777" w:rsidR="004E72B3" w:rsidRPr="004E72B3" w:rsidRDefault="004E72B3" w:rsidP="004E72B3">
            <w:pPr>
              <w:rPr>
                <w:rFonts w:ascii="Arial" w:hAnsi="Arial" w:cs="Arial"/>
                <w:sz w:val="20"/>
                <w:lang w:val="en-GB"/>
              </w:rPr>
            </w:pPr>
            <w:r w:rsidRPr="004E72B3">
              <w:rPr>
                <w:rFonts w:ascii="Arial" w:hAnsi="Arial" w:cs="Arial"/>
                <w:sz w:val="20"/>
                <w:lang w:val="en-GB"/>
              </w:rPr>
              <w:t>1.0E-02</w:t>
            </w:r>
          </w:p>
        </w:tc>
        <w:tc>
          <w:tcPr>
            <w:tcW w:w="2596" w:type="dxa"/>
            <w:tcBorders>
              <w:top w:val="nil"/>
              <w:left w:val="nil"/>
              <w:bottom w:val="nil"/>
              <w:right w:val="nil"/>
            </w:tcBorders>
            <w:vAlign w:val="center"/>
          </w:tcPr>
          <w:p w14:paraId="75B3A21E" w14:textId="0E8DC3AA" w:rsidR="004E72B3" w:rsidRPr="004E72B3" w:rsidRDefault="004E72B3" w:rsidP="004E72B3">
            <w:pPr>
              <w:rPr>
                <w:rFonts w:ascii="Arial" w:hAnsi="Arial" w:cs="Arial"/>
                <w:sz w:val="20"/>
                <w:lang w:val="en-GB"/>
              </w:rPr>
            </w:pPr>
            <w:r w:rsidRPr="004E72B3">
              <w:rPr>
                <w:rFonts w:ascii="Arial" w:hAnsi="Arial" w:cs="Arial"/>
                <w:sz w:val="20"/>
                <w:lang w:val="en-GB"/>
              </w:rPr>
              <w:fldChar w:fldCharType="begin"/>
            </w:r>
            <w:r w:rsidR="008C4F1C">
              <w:rPr>
                <w:rFonts w:ascii="Arial" w:hAnsi="Arial" w:cs="Arial"/>
                <w:sz w:val="20"/>
                <w:lang w:val="en-GB"/>
              </w:rPr>
              <w:instrText xml:space="preserve"> ADDIN ZOTERO_ITEM CSL_CITATION {"citationID":"6Ag4LC0e","properties":{"formattedCitation":"\\super 12\\nosupersub{}","plainCitation":"12","noteIndex":0},"citationItems":[{"id":4018,"uris":["http://zotero.org/users/2709798/items/JGRNZVTM"],"uri":["http://zotero.org/users/2709798/items/JGRNZVTM"],"itemData":{"id":4018,"type":"article-journal","abstract":"The continuous measurement of molecular hydrogen (H2) emissions from passively degassing volcanoes has recently been made possible using a new generation of low-cost electrochemical sensors. We have used such sensors to measure H2, along with SO2, H2O and CO2, in the gas and aerosol plume emitted from the phonolite lava lake at Erebus volcano, Antarctica. The measurements were made at the crater rim between December 2010 and January 2011. Combined with measurements of the long-term SO2 emission rate for Erebus, they indicate a characteristic H2 flux of 0.03 kg s–1 (2.8 Mg  day–1). The observed H2 content in the plume is consistent with previous estimates of redox conditions in the lava lake inferred from mineral compositions and the observed CO2/CO ratio in the gas plume (</w:instrText>
            </w:r>
            <w:r w:rsidR="008C4F1C">
              <w:rPr>
                <w:rFonts w:ascii="Cambria Math" w:hAnsi="Cambria Math" w:cs="Cambria Math"/>
                <w:sz w:val="20"/>
                <w:lang w:val="en-GB"/>
              </w:rPr>
              <w:instrText>∼</w:instrText>
            </w:r>
            <w:r w:rsidR="008C4F1C">
              <w:rPr>
                <w:rFonts w:ascii="Arial" w:hAnsi="Arial" w:cs="Arial"/>
                <w:sz w:val="20"/>
                <w:lang w:val="en-GB"/>
              </w:rPr>
              <w:instrText xml:space="preserve">0.9 log units below the quartz–fayalite–magnetite buffer). These measurements suggest that H2 does not combust at the surface of the lake, and that H2 is kinetically inert in the gas/aerosol plume, retaining the signature of the high-temperature chemical equilibrium reached in the lava lake. We also observe a cyclical variation in the H2/SO2 ratio with a period of </w:instrText>
            </w:r>
            <w:r w:rsidR="008C4F1C">
              <w:rPr>
                <w:rFonts w:ascii="Cambria Math" w:hAnsi="Cambria Math" w:cs="Cambria Math"/>
                <w:sz w:val="20"/>
                <w:lang w:val="en-GB"/>
              </w:rPr>
              <w:instrText>∼</w:instrText>
            </w:r>
            <w:r w:rsidR="008C4F1C">
              <w:rPr>
                <w:rFonts w:ascii="Arial" w:hAnsi="Arial" w:cs="Arial"/>
                <w:sz w:val="20"/>
                <w:lang w:val="en-GB"/>
              </w:rPr>
              <w:instrText xml:space="preserve">10 min. These cycles correspond to oscillatory patterns of surface motion of the lava lake that have been interpreted as signs of a pulsatory magma supply at the top of the magmatic conduit.","container-title":"Bulletin of Volcanology","DOI":"10.1007/s00445-012-0649-2","ISSN":"1432-0819","issue":"9","journalAbbreviation":"Bull Volcanol","language":"en","note":"Company: Springer\nDistributor: Springer\nInstitution: Springer\nLabel: Springer\nnumber: 9\npublisher: Springer-Verlag","page":"2109-2120","source":"link.springer.com","title":"Hydrogen emissions from Erebus volcano, Antarctica","volume":"74","author":[{"family":"Moussallam","given":"Yves"},{"family":"Oppenheimer","given":"Clive"},{"family":"Aiuppa","given":"Alessandro"},{"family":"Giudice","given":"Gaetano"},{"family":"Moussallam","given":"Manuel"},{"family":"Kyle","given":"Philip"}],"issued":{"date-parts":[["2012",11,1]]}}}],"schema":"https://github.com/citation-style-language/schema/raw/master/csl-citation.json"} </w:instrText>
            </w:r>
            <w:r w:rsidRPr="004E72B3">
              <w:rPr>
                <w:rFonts w:ascii="Arial" w:hAnsi="Arial" w:cs="Arial"/>
                <w:sz w:val="20"/>
                <w:lang w:val="en-GB"/>
              </w:rPr>
              <w:fldChar w:fldCharType="separate"/>
            </w:r>
            <w:r w:rsidR="008C4F1C" w:rsidRPr="008C4F1C">
              <w:rPr>
                <w:rFonts w:ascii="Arial" w:hAnsi="Arial" w:cs="Arial"/>
                <w:sz w:val="20"/>
                <w:vertAlign w:val="superscript"/>
              </w:rPr>
              <w:t>12</w:t>
            </w:r>
            <w:r w:rsidRPr="004E72B3">
              <w:rPr>
                <w:rFonts w:ascii="Arial" w:hAnsi="Arial" w:cs="Arial"/>
                <w:sz w:val="20"/>
              </w:rPr>
              <w:fldChar w:fldCharType="end"/>
            </w:r>
          </w:p>
        </w:tc>
        <w:tc>
          <w:tcPr>
            <w:tcW w:w="2273" w:type="dxa"/>
            <w:tcBorders>
              <w:top w:val="nil"/>
              <w:left w:val="nil"/>
              <w:bottom w:val="nil"/>
              <w:right w:val="nil"/>
            </w:tcBorders>
            <w:vAlign w:val="center"/>
          </w:tcPr>
          <w:p w14:paraId="075F3FEE" w14:textId="77777777" w:rsidR="004E72B3" w:rsidRPr="004E72B3" w:rsidRDefault="004E72B3" w:rsidP="004E72B3">
            <w:pPr>
              <w:rPr>
                <w:rFonts w:ascii="Arial" w:hAnsi="Arial" w:cs="Arial"/>
                <w:sz w:val="20"/>
                <w:lang w:val="en-GB"/>
              </w:rPr>
            </w:pPr>
            <w:r w:rsidRPr="004E72B3">
              <w:rPr>
                <w:rFonts w:ascii="Arial" w:hAnsi="Arial" w:cs="Arial"/>
                <w:sz w:val="20"/>
                <w:lang w:val="en-GB"/>
              </w:rPr>
              <w:t>No data</w:t>
            </w:r>
          </w:p>
        </w:tc>
      </w:tr>
      <w:tr w:rsidR="004E72B3" w:rsidRPr="004E72B3" w14:paraId="22CC8B47" w14:textId="77777777" w:rsidTr="004E72B3">
        <w:tc>
          <w:tcPr>
            <w:tcW w:w="1459" w:type="dxa"/>
            <w:tcBorders>
              <w:top w:val="nil"/>
              <w:left w:val="nil"/>
              <w:bottom w:val="nil"/>
              <w:right w:val="nil"/>
            </w:tcBorders>
            <w:vAlign w:val="center"/>
          </w:tcPr>
          <w:p w14:paraId="447798E5" w14:textId="77777777" w:rsidR="004E72B3" w:rsidRPr="004E72B3" w:rsidRDefault="004E72B3" w:rsidP="004E72B3">
            <w:pPr>
              <w:rPr>
                <w:rFonts w:ascii="Arial" w:hAnsi="Arial" w:cs="Arial"/>
                <w:sz w:val="20"/>
                <w:lang w:val="en-GB"/>
              </w:rPr>
            </w:pPr>
            <w:r w:rsidRPr="004E72B3">
              <w:rPr>
                <w:rFonts w:ascii="Arial" w:hAnsi="Arial" w:cs="Arial"/>
                <w:sz w:val="20"/>
                <w:lang w:val="en-GB"/>
              </w:rPr>
              <w:t>S</w:t>
            </w:r>
            <w:r w:rsidRPr="004E72B3">
              <w:rPr>
                <w:rFonts w:ascii="Arial" w:hAnsi="Arial" w:cs="Arial"/>
                <w:sz w:val="20"/>
                <w:vertAlign w:val="subscript"/>
                <w:lang w:val="en-GB"/>
              </w:rPr>
              <w:t>2</w:t>
            </w:r>
          </w:p>
        </w:tc>
        <w:tc>
          <w:tcPr>
            <w:tcW w:w="2312" w:type="dxa"/>
            <w:tcBorders>
              <w:top w:val="nil"/>
              <w:left w:val="nil"/>
              <w:bottom w:val="nil"/>
              <w:right w:val="nil"/>
            </w:tcBorders>
            <w:vAlign w:val="center"/>
          </w:tcPr>
          <w:p w14:paraId="3B316F05" w14:textId="77777777" w:rsidR="004E72B3" w:rsidRPr="004E72B3" w:rsidRDefault="004E72B3" w:rsidP="004E72B3">
            <w:pPr>
              <w:rPr>
                <w:rFonts w:ascii="Arial" w:hAnsi="Arial" w:cs="Arial"/>
                <w:sz w:val="20"/>
                <w:lang w:val="en-GB"/>
              </w:rPr>
            </w:pPr>
            <w:r w:rsidRPr="004E72B3">
              <w:rPr>
                <w:rFonts w:ascii="Arial" w:hAnsi="Arial" w:cs="Arial"/>
                <w:sz w:val="20"/>
                <w:lang w:val="en-GB"/>
              </w:rPr>
              <w:t>3.1E-03</w:t>
            </w:r>
          </w:p>
        </w:tc>
        <w:tc>
          <w:tcPr>
            <w:tcW w:w="2596" w:type="dxa"/>
            <w:tcBorders>
              <w:top w:val="nil"/>
              <w:left w:val="nil"/>
              <w:bottom w:val="nil"/>
              <w:right w:val="nil"/>
            </w:tcBorders>
            <w:vAlign w:val="center"/>
          </w:tcPr>
          <w:p w14:paraId="727CE6E2" w14:textId="77777777" w:rsidR="004E72B3" w:rsidRPr="004E72B3" w:rsidRDefault="004E72B3" w:rsidP="004E72B3">
            <w:pPr>
              <w:rPr>
                <w:rFonts w:ascii="Arial" w:hAnsi="Arial" w:cs="Arial"/>
                <w:sz w:val="20"/>
                <w:lang w:val="en-GB"/>
              </w:rPr>
            </w:pPr>
            <w:r w:rsidRPr="004E72B3">
              <w:rPr>
                <w:rFonts w:ascii="Arial" w:hAnsi="Arial" w:cs="Arial"/>
                <w:sz w:val="20"/>
                <w:lang w:val="en-GB"/>
              </w:rPr>
              <w:t>"</w:t>
            </w:r>
          </w:p>
        </w:tc>
        <w:tc>
          <w:tcPr>
            <w:tcW w:w="2273" w:type="dxa"/>
            <w:tcBorders>
              <w:top w:val="nil"/>
              <w:left w:val="nil"/>
              <w:bottom w:val="nil"/>
              <w:right w:val="nil"/>
            </w:tcBorders>
            <w:vAlign w:val="center"/>
          </w:tcPr>
          <w:p w14:paraId="3CB264A9" w14:textId="77777777" w:rsidR="004E72B3" w:rsidRPr="004E72B3" w:rsidRDefault="004E72B3" w:rsidP="004E72B3">
            <w:pPr>
              <w:rPr>
                <w:rFonts w:ascii="Arial" w:hAnsi="Arial" w:cs="Arial"/>
                <w:sz w:val="20"/>
                <w:lang w:val="en-GB"/>
              </w:rPr>
            </w:pPr>
            <w:r w:rsidRPr="004E72B3">
              <w:rPr>
                <w:rFonts w:ascii="Arial" w:hAnsi="Arial" w:cs="Arial"/>
                <w:sz w:val="20"/>
                <w:lang w:val="en-GB"/>
              </w:rPr>
              <w:t>No data</w:t>
            </w:r>
          </w:p>
        </w:tc>
      </w:tr>
      <w:tr w:rsidR="004E72B3" w:rsidRPr="004E72B3" w14:paraId="3BEC6EC2" w14:textId="77777777" w:rsidTr="004E72B3">
        <w:tc>
          <w:tcPr>
            <w:tcW w:w="1459" w:type="dxa"/>
            <w:tcBorders>
              <w:top w:val="nil"/>
              <w:left w:val="nil"/>
              <w:bottom w:val="nil"/>
              <w:right w:val="nil"/>
            </w:tcBorders>
            <w:vAlign w:val="center"/>
          </w:tcPr>
          <w:p w14:paraId="1C07DB24" w14:textId="77777777" w:rsidR="004E72B3" w:rsidRPr="004E72B3" w:rsidRDefault="004E72B3" w:rsidP="004E72B3">
            <w:pPr>
              <w:rPr>
                <w:rFonts w:ascii="Arial" w:hAnsi="Arial" w:cs="Arial"/>
                <w:sz w:val="20"/>
                <w:lang w:val="en-GB"/>
              </w:rPr>
            </w:pPr>
            <w:r w:rsidRPr="004E72B3">
              <w:rPr>
                <w:rFonts w:ascii="Arial" w:hAnsi="Arial" w:cs="Arial"/>
                <w:sz w:val="20"/>
                <w:lang w:val="en-GB"/>
              </w:rPr>
              <w:t>Cd</w:t>
            </w:r>
          </w:p>
        </w:tc>
        <w:tc>
          <w:tcPr>
            <w:tcW w:w="2312" w:type="dxa"/>
            <w:tcBorders>
              <w:top w:val="nil"/>
              <w:left w:val="nil"/>
              <w:bottom w:val="nil"/>
              <w:right w:val="nil"/>
            </w:tcBorders>
            <w:vAlign w:val="center"/>
          </w:tcPr>
          <w:p w14:paraId="746EBE54" w14:textId="77777777" w:rsidR="004E72B3" w:rsidRPr="004E72B3" w:rsidRDefault="004E72B3" w:rsidP="004E72B3">
            <w:pPr>
              <w:rPr>
                <w:rFonts w:ascii="Arial" w:hAnsi="Arial" w:cs="Arial"/>
                <w:sz w:val="20"/>
                <w:lang w:val="en-GB"/>
              </w:rPr>
            </w:pPr>
            <w:r w:rsidRPr="004E72B3">
              <w:rPr>
                <w:rFonts w:ascii="Arial" w:hAnsi="Arial" w:cs="Arial"/>
                <w:sz w:val="20"/>
                <w:lang w:val="en-GB"/>
              </w:rPr>
              <w:t>9.3E-05</w:t>
            </w:r>
          </w:p>
        </w:tc>
        <w:tc>
          <w:tcPr>
            <w:tcW w:w="2596" w:type="dxa"/>
            <w:tcBorders>
              <w:top w:val="nil"/>
              <w:left w:val="nil"/>
              <w:bottom w:val="nil"/>
              <w:right w:val="nil"/>
            </w:tcBorders>
            <w:vAlign w:val="center"/>
          </w:tcPr>
          <w:p w14:paraId="57889CF1" w14:textId="77777777" w:rsidR="004E72B3" w:rsidRPr="004E72B3" w:rsidRDefault="004E72B3" w:rsidP="004E72B3">
            <w:pPr>
              <w:rPr>
                <w:rFonts w:ascii="Arial" w:hAnsi="Arial" w:cs="Arial"/>
                <w:sz w:val="20"/>
                <w:lang w:val="en-GB"/>
              </w:rPr>
            </w:pPr>
            <w:r w:rsidRPr="004E72B3">
              <w:rPr>
                <w:rFonts w:ascii="Arial" w:hAnsi="Arial" w:cs="Arial"/>
                <w:sz w:val="20"/>
                <w:lang w:val="en-GB"/>
              </w:rPr>
              <w:t>Mt. Takahe Cd/Cl ratio</w:t>
            </w:r>
          </w:p>
        </w:tc>
        <w:tc>
          <w:tcPr>
            <w:tcW w:w="2273" w:type="dxa"/>
            <w:tcBorders>
              <w:top w:val="nil"/>
              <w:left w:val="nil"/>
              <w:bottom w:val="nil"/>
              <w:right w:val="nil"/>
            </w:tcBorders>
            <w:vAlign w:val="center"/>
          </w:tcPr>
          <w:p w14:paraId="2EF9B047" w14:textId="77777777" w:rsidR="004E72B3" w:rsidRPr="004E72B3" w:rsidRDefault="004E72B3" w:rsidP="004E72B3">
            <w:pPr>
              <w:rPr>
                <w:rFonts w:ascii="Arial" w:hAnsi="Arial" w:cs="Arial"/>
                <w:sz w:val="20"/>
                <w:lang w:val="en-GB"/>
              </w:rPr>
            </w:pPr>
            <w:r w:rsidRPr="004E72B3">
              <w:rPr>
                <w:rFonts w:ascii="Arial" w:hAnsi="Arial" w:cs="Arial"/>
                <w:sz w:val="20"/>
                <w:lang w:val="en-GB"/>
              </w:rPr>
              <w:t>3.1E-04</w:t>
            </w:r>
          </w:p>
        </w:tc>
      </w:tr>
      <w:tr w:rsidR="004E72B3" w:rsidRPr="004E72B3" w14:paraId="5BDA5794" w14:textId="77777777" w:rsidTr="004E72B3">
        <w:tc>
          <w:tcPr>
            <w:tcW w:w="1459" w:type="dxa"/>
            <w:tcBorders>
              <w:top w:val="nil"/>
              <w:left w:val="nil"/>
              <w:bottom w:val="nil"/>
              <w:right w:val="nil"/>
            </w:tcBorders>
            <w:vAlign w:val="center"/>
          </w:tcPr>
          <w:p w14:paraId="7861CF95" w14:textId="77777777" w:rsidR="004E72B3" w:rsidRPr="004E72B3" w:rsidRDefault="004E72B3" w:rsidP="004E72B3">
            <w:pPr>
              <w:rPr>
                <w:rFonts w:ascii="Arial" w:hAnsi="Arial" w:cs="Arial"/>
                <w:sz w:val="20"/>
                <w:lang w:val="en-GB"/>
              </w:rPr>
            </w:pPr>
            <w:r w:rsidRPr="004E72B3">
              <w:rPr>
                <w:rFonts w:ascii="Arial" w:hAnsi="Arial" w:cs="Arial"/>
                <w:sz w:val="20"/>
                <w:lang w:val="en-GB"/>
              </w:rPr>
              <w:t>Pb</w:t>
            </w:r>
          </w:p>
        </w:tc>
        <w:tc>
          <w:tcPr>
            <w:tcW w:w="2312" w:type="dxa"/>
            <w:tcBorders>
              <w:top w:val="nil"/>
              <w:left w:val="nil"/>
              <w:bottom w:val="nil"/>
              <w:right w:val="nil"/>
            </w:tcBorders>
            <w:vAlign w:val="center"/>
          </w:tcPr>
          <w:p w14:paraId="5B656F6E" w14:textId="77777777" w:rsidR="004E72B3" w:rsidRPr="004E72B3" w:rsidRDefault="004E72B3" w:rsidP="004E72B3">
            <w:pPr>
              <w:rPr>
                <w:rFonts w:ascii="Arial" w:hAnsi="Arial" w:cs="Arial"/>
                <w:sz w:val="20"/>
                <w:lang w:val="en-GB"/>
              </w:rPr>
            </w:pPr>
            <w:r w:rsidRPr="004E72B3">
              <w:rPr>
                <w:rFonts w:ascii="Arial" w:hAnsi="Arial" w:cs="Arial"/>
                <w:sz w:val="20"/>
                <w:lang w:val="en-GB"/>
              </w:rPr>
              <w:t>5.4E-05</w:t>
            </w:r>
          </w:p>
        </w:tc>
        <w:tc>
          <w:tcPr>
            <w:tcW w:w="2596" w:type="dxa"/>
            <w:tcBorders>
              <w:top w:val="nil"/>
              <w:left w:val="nil"/>
              <w:bottom w:val="nil"/>
              <w:right w:val="nil"/>
            </w:tcBorders>
            <w:vAlign w:val="center"/>
          </w:tcPr>
          <w:p w14:paraId="5D70A2CE" w14:textId="77777777" w:rsidR="004E72B3" w:rsidRPr="004E72B3" w:rsidRDefault="004E72B3" w:rsidP="004E72B3">
            <w:pPr>
              <w:rPr>
                <w:rFonts w:ascii="Arial" w:hAnsi="Arial" w:cs="Arial"/>
                <w:sz w:val="20"/>
                <w:lang w:val="en-GB"/>
              </w:rPr>
            </w:pPr>
            <w:r w:rsidRPr="004E72B3">
              <w:rPr>
                <w:rFonts w:ascii="Arial" w:hAnsi="Arial" w:cs="Arial"/>
                <w:sz w:val="20"/>
                <w:lang w:val="en-GB"/>
              </w:rPr>
              <w:t>Mt. Takahe Pb/Cl ratio</w:t>
            </w:r>
          </w:p>
        </w:tc>
        <w:tc>
          <w:tcPr>
            <w:tcW w:w="2273" w:type="dxa"/>
            <w:tcBorders>
              <w:top w:val="nil"/>
              <w:left w:val="nil"/>
              <w:bottom w:val="nil"/>
              <w:right w:val="nil"/>
            </w:tcBorders>
            <w:vAlign w:val="center"/>
          </w:tcPr>
          <w:p w14:paraId="45229C7E" w14:textId="77777777" w:rsidR="004E72B3" w:rsidRPr="004E72B3" w:rsidRDefault="004E72B3" w:rsidP="004E72B3">
            <w:pPr>
              <w:rPr>
                <w:rFonts w:ascii="Arial" w:hAnsi="Arial" w:cs="Arial"/>
                <w:sz w:val="20"/>
                <w:lang w:val="en-GB"/>
              </w:rPr>
            </w:pPr>
            <w:r w:rsidRPr="004E72B3">
              <w:rPr>
                <w:rFonts w:ascii="Arial" w:hAnsi="Arial" w:cs="Arial"/>
                <w:sz w:val="20"/>
                <w:lang w:val="en-GB"/>
              </w:rPr>
              <w:t>5.1E-05</w:t>
            </w:r>
          </w:p>
        </w:tc>
      </w:tr>
      <w:tr w:rsidR="004E72B3" w:rsidRPr="004E72B3" w14:paraId="0EDF3F61" w14:textId="77777777" w:rsidTr="004E72B3">
        <w:tc>
          <w:tcPr>
            <w:tcW w:w="1459" w:type="dxa"/>
            <w:tcBorders>
              <w:top w:val="nil"/>
              <w:left w:val="nil"/>
              <w:bottom w:val="nil"/>
              <w:right w:val="nil"/>
            </w:tcBorders>
            <w:vAlign w:val="center"/>
          </w:tcPr>
          <w:p w14:paraId="625E9F62" w14:textId="77777777" w:rsidR="004E72B3" w:rsidRPr="004E72B3" w:rsidRDefault="004E72B3" w:rsidP="004E72B3">
            <w:pPr>
              <w:rPr>
                <w:rFonts w:ascii="Arial" w:hAnsi="Arial" w:cs="Arial"/>
                <w:sz w:val="20"/>
                <w:lang w:val="en-GB"/>
              </w:rPr>
            </w:pPr>
            <w:r w:rsidRPr="004E72B3">
              <w:rPr>
                <w:rFonts w:ascii="Arial" w:hAnsi="Arial" w:cs="Arial"/>
                <w:sz w:val="20"/>
                <w:lang w:val="en-GB"/>
              </w:rPr>
              <w:t>Bi</w:t>
            </w:r>
          </w:p>
        </w:tc>
        <w:tc>
          <w:tcPr>
            <w:tcW w:w="2312" w:type="dxa"/>
            <w:tcBorders>
              <w:top w:val="nil"/>
              <w:left w:val="nil"/>
              <w:bottom w:val="nil"/>
              <w:right w:val="nil"/>
            </w:tcBorders>
            <w:vAlign w:val="center"/>
          </w:tcPr>
          <w:p w14:paraId="63154B8A" w14:textId="77777777" w:rsidR="004E72B3" w:rsidRPr="004E72B3" w:rsidRDefault="004E72B3" w:rsidP="004E72B3">
            <w:pPr>
              <w:rPr>
                <w:rFonts w:ascii="Arial" w:hAnsi="Arial" w:cs="Arial"/>
                <w:sz w:val="20"/>
                <w:lang w:val="en-GB"/>
              </w:rPr>
            </w:pPr>
            <w:r w:rsidRPr="004E72B3">
              <w:rPr>
                <w:rFonts w:ascii="Arial" w:hAnsi="Arial" w:cs="Arial"/>
                <w:sz w:val="20"/>
                <w:lang w:val="en-GB"/>
              </w:rPr>
              <w:t>1.2E-05</w:t>
            </w:r>
          </w:p>
        </w:tc>
        <w:tc>
          <w:tcPr>
            <w:tcW w:w="2596" w:type="dxa"/>
            <w:tcBorders>
              <w:top w:val="nil"/>
              <w:left w:val="nil"/>
              <w:bottom w:val="nil"/>
              <w:right w:val="nil"/>
            </w:tcBorders>
            <w:vAlign w:val="center"/>
          </w:tcPr>
          <w:p w14:paraId="42FFDE46" w14:textId="77777777" w:rsidR="004E72B3" w:rsidRPr="004E72B3" w:rsidRDefault="004E72B3" w:rsidP="004E72B3">
            <w:pPr>
              <w:rPr>
                <w:rFonts w:ascii="Arial" w:hAnsi="Arial" w:cs="Arial"/>
                <w:sz w:val="20"/>
                <w:lang w:val="en-GB"/>
              </w:rPr>
            </w:pPr>
            <w:r w:rsidRPr="004E72B3">
              <w:rPr>
                <w:rFonts w:ascii="Arial" w:hAnsi="Arial" w:cs="Arial"/>
                <w:sz w:val="20"/>
                <w:lang w:val="en-GB"/>
              </w:rPr>
              <w:t>Mt. Takahe Bi/Cl ratio</w:t>
            </w:r>
          </w:p>
        </w:tc>
        <w:tc>
          <w:tcPr>
            <w:tcW w:w="2273" w:type="dxa"/>
            <w:tcBorders>
              <w:top w:val="nil"/>
              <w:left w:val="nil"/>
              <w:bottom w:val="nil"/>
              <w:right w:val="nil"/>
            </w:tcBorders>
            <w:vAlign w:val="center"/>
          </w:tcPr>
          <w:p w14:paraId="6CFF07E8" w14:textId="77777777" w:rsidR="004E72B3" w:rsidRPr="004E72B3" w:rsidRDefault="004E72B3" w:rsidP="004E72B3">
            <w:pPr>
              <w:rPr>
                <w:rFonts w:ascii="Arial" w:hAnsi="Arial" w:cs="Arial"/>
                <w:sz w:val="20"/>
                <w:lang w:val="en-GB"/>
              </w:rPr>
            </w:pPr>
            <w:r w:rsidRPr="004E72B3">
              <w:rPr>
                <w:rFonts w:ascii="Arial" w:hAnsi="Arial" w:cs="Arial"/>
                <w:sz w:val="20"/>
                <w:lang w:val="en-GB"/>
              </w:rPr>
              <w:t>1.8E-05</w:t>
            </w:r>
          </w:p>
        </w:tc>
      </w:tr>
      <w:tr w:rsidR="004E72B3" w:rsidRPr="004E72B3" w14:paraId="54E049C9" w14:textId="77777777" w:rsidTr="004E72B3">
        <w:tc>
          <w:tcPr>
            <w:tcW w:w="1459" w:type="dxa"/>
            <w:tcBorders>
              <w:top w:val="nil"/>
              <w:left w:val="nil"/>
              <w:bottom w:val="single" w:sz="4" w:space="0" w:color="auto"/>
              <w:right w:val="nil"/>
            </w:tcBorders>
            <w:vAlign w:val="center"/>
          </w:tcPr>
          <w:p w14:paraId="258F1587" w14:textId="77777777" w:rsidR="004E72B3" w:rsidRPr="004E72B3" w:rsidRDefault="004E72B3" w:rsidP="004E72B3">
            <w:pPr>
              <w:rPr>
                <w:rFonts w:ascii="Arial" w:hAnsi="Arial" w:cs="Arial"/>
                <w:sz w:val="20"/>
                <w:lang w:val="en-GB"/>
              </w:rPr>
            </w:pPr>
            <w:r w:rsidRPr="004E72B3">
              <w:rPr>
                <w:rFonts w:ascii="Arial" w:hAnsi="Arial" w:cs="Arial"/>
                <w:sz w:val="20"/>
                <w:lang w:val="en-GB"/>
              </w:rPr>
              <w:t>Tl</w:t>
            </w:r>
          </w:p>
        </w:tc>
        <w:tc>
          <w:tcPr>
            <w:tcW w:w="2312" w:type="dxa"/>
            <w:tcBorders>
              <w:top w:val="nil"/>
              <w:left w:val="nil"/>
              <w:bottom w:val="single" w:sz="4" w:space="0" w:color="auto"/>
              <w:right w:val="nil"/>
            </w:tcBorders>
            <w:vAlign w:val="center"/>
          </w:tcPr>
          <w:p w14:paraId="7D3992BD" w14:textId="77777777" w:rsidR="004E72B3" w:rsidRPr="004E72B3" w:rsidRDefault="004E72B3" w:rsidP="004E72B3">
            <w:pPr>
              <w:rPr>
                <w:rFonts w:ascii="Arial" w:hAnsi="Arial" w:cs="Arial"/>
                <w:sz w:val="20"/>
                <w:lang w:val="en-GB"/>
              </w:rPr>
            </w:pPr>
            <w:r w:rsidRPr="004E72B3">
              <w:rPr>
                <w:rFonts w:ascii="Arial" w:hAnsi="Arial" w:cs="Arial"/>
                <w:sz w:val="20"/>
                <w:lang w:val="en-GB"/>
              </w:rPr>
              <w:t>2.7E-06</w:t>
            </w:r>
          </w:p>
        </w:tc>
        <w:tc>
          <w:tcPr>
            <w:tcW w:w="2596" w:type="dxa"/>
            <w:tcBorders>
              <w:top w:val="nil"/>
              <w:left w:val="nil"/>
              <w:bottom w:val="single" w:sz="4" w:space="0" w:color="auto"/>
              <w:right w:val="nil"/>
            </w:tcBorders>
            <w:vAlign w:val="center"/>
          </w:tcPr>
          <w:p w14:paraId="24BF4D6E" w14:textId="77777777" w:rsidR="004E72B3" w:rsidRPr="004E72B3" w:rsidRDefault="004E72B3" w:rsidP="004E72B3">
            <w:pPr>
              <w:rPr>
                <w:rFonts w:ascii="Arial" w:hAnsi="Arial" w:cs="Arial"/>
                <w:sz w:val="20"/>
                <w:lang w:val="en-GB"/>
              </w:rPr>
            </w:pPr>
            <w:r w:rsidRPr="004E72B3">
              <w:rPr>
                <w:rFonts w:ascii="Arial" w:hAnsi="Arial" w:cs="Arial"/>
                <w:sz w:val="20"/>
                <w:lang w:val="en-GB"/>
              </w:rPr>
              <w:t>Mt. Takahe Tl/Cl ratio</w:t>
            </w:r>
          </w:p>
        </w:tc>
        <w:tc>
          <w:tcPr>
            <w:tcW w:w="2273" w:type="dxa"/>
            <w:tcBorders>
              <w:top w:val="nil"/>
              <w:left w:val="nil"/>
              <w:bottom w:val="single" w:sz="4" w:space="0" w:color="auto"/>
              <w:right w:val="nil"/>
            </w:tcBorders>
            <w:vAlign w:val="center"/>
          </w:tcPr>
          <w:p w14:paraId="5A0A36AC" w14:textId="77777777" w:rsidR="004E72B3" w:rsidRPr="004E72B3" w:rsidRDefault="004E72B3" w:rsidP="004E72B3">
            <w:pPr>
              <w:rPr>
                <w:rFonts w:ascii="Arial" w:hAnsi="Arial" w:cs="Arial"/>
                <w:sz w:val="20"/>
                <w:lang w:val="en-GB"/>
              </w:rPr>
            </w:pPr>
            <w:r w:rsidRPr="004E72B3">
              <w:rPr>
                <w:rFonts w:ascii="Arial" w:hAnsi="Arial" w:cs="Arial"/>
                <w:sz w:val="20"/>
                <w:lang w:val="en-GB"/>
              </w:rPr>
              <w:t>1.1E-05</w:t>
            </w:r>
          </w:p>
        </w:tc>
      </w:tr>
      <w:tr w:rsidR="004E72B3" w:rsidRPr="004E72B3" w14:paraId="53429887" w14:textId="77777777" w:rsidTr="004E72B3">
        <w:tc>
          <w:tcPr>
            <w:tcW w:w="1459" w:type="dxa"/>
            <w:tcBorders>
              <w:top w:val="single" w:sz="4" w:space="0" w:color="auto"/>
              <w:left w:val="nil"/>
              <w:bottom w:val="single" w:sz="2" w:space="0" w:color="auto"/>
              <w:right w:val="nil"/>
            </w:tcBorders>
            <w:vAlign w:val="center"/>
          </w:tcPr>
          <w:p w14:paraId="3B7B940A" w14:textId="77777777" w:rsidR="004E72B3" w:rsidRPr="004E72B3" w:rsidRDefault="004E72B3" w:rsidP="004E72B3">
            <w:pPr>
              <w:rPr>
                <w:rFonts w:ascii="Arial" w:hAnsi="Arial" w:cs="Arial"/>
                <w:sz w:val="20"/>
                <w:lang w:val="en-GB"/>
              </w:rPr>
            </w:pPr>
            <w:r w:rsidRPr="004E72B3">
              <w:rPr>
                <w:rFonts w:ascii="Arial" w:hAnsi="Arial" w:cs="Arial"/>
                <w:sz w:val="20"/>
                <w:lang w:val="en-GB"/>
              </w:rPr>
              <w:sym w:font="Symbol" w:char="F044"/>
            </w:r>
            <w:r w:rsidRPr="004E72B3">
              <w:rPr>
                <w:rFonts w:ascii="Arial" w:hAnsi="Arial" w:cs="Arial"/>
                <w:sz w:val="20"/>
                <w:lang w:val="en-GB"/>
              </w:rPr>
              <w:t>FMQ</w:t>
            </w:r>
          </w:p>
        </w:tc>
        <w:tc>
          <w:tcPr>
            <w:tcW w:w="2312" w:type="dxa"/>
            <w:tcBorders>
              <w:top w:val="single" w:sz="4" w:space="0" w:color="auto"/>
              <w:left w:val="nil"/>
              <w:bottom w:val="single" w:sz="2" w:space="0" w:color="auto"/>
              <w:right w:val="nil"/>
            </w:tcBorders>
            <w:vAlign w:val="center"/>
          </w:tcPr>
          <w:p w14:paraId="0EEB0C51" w14:textId="77777777" w:rsidR="004E72B3" w:rsidRPr="004E72B3" w:rsidRDefault="004E72B3" w:rsidP="004E72B3">
            <w:pPr>
              <w:rPr>
                <w:rFonts w:ascii="Arial" w:hAnsi="Arial" w:cs="Arial"/>
                <w:sz w:val="20"/>
                <w:lang w:val="en-GB"/>
              </w:rPr>
            </w:pPr>
            <w:r w:rsidRPr="004E72B3">
              <w:rPr>
                <w:rFonts w:ascii="Arial" w:hAnsi="Arial" w:cs="Arial"/>
                <w:sz w:val="20"/>
                <w:lang w:val="en-GB"/>
              </w:rPr>
              <w:t>–1</w:t>
            </w:r>
          </w:p>
        </w:tc>
        <w:tc>
          <w:tcPr>
            <w:tcW w:w="2596" w:type="dxa"/>
            <w:tcBorders>
              <w:top w:val="single" w:sz="4" w:space="0" w:color="auto"/>
              <w:left w:val="nil"/>
              <w:bottom w:val="single" w:sz="2" w:space="0" w:color="auto"/>
              <w:right w:val="nil"/>
            </w:tcBorders>
            <w:vAlign w:val="center"/>
          </w:tcPr>
          <w:p w14:paraId="6A443A3E" w14:textId="66184593" w:rsidR="004E72B3" w:rsidRPr="004E72B3" w:rsidRDefault="004E72B3" w:rsidP="004E72B3">
            <w:pPr>
              <w:rPr>
                <w:rFonts w:ascii="Arial" w:hAnsi="Arial" w:cs="Arial"/>
                <w:sz w:val="20"/>
                <w:lang w:val="en-GB"/>
              </w:rPr>
            </w:pPr>
            <w:r w:rsidRPr="004E72B3">
              <w:rPr>
                <w:rFonts w:ascii="Arial" w:hAnsi="Arial" w:cs="Arial"/>
                <w:sz w:val="20"/>
                <w:lang w:val="en-GB"/>
              </w:rPr>
              <w:t>Redox couples</w:t>
            </w:r>
            <w:r w:rsidR="008C4F1C">
              <w:rPr>
                <w:rFonts w:ascii="Arial" w:hAnsi="Arial" w:cs="Arial"/>
                <w:sz w:val="20"/>
                <w:lang w:val="en-GB"/>
              </w:rPr>
              <w:fldChar w:fldCharType="begin"/>
            </w:r>
            <w:r w:rsidR="008C4F1C">
              <w:rPr>
                <w:rFonts w:ascii="Arial" w:hAnsi="Arial" w:cs="Arial"/>
                <w:sz w:val="20"/>
                <w:lang w:val="en-GB"/>
              </w:rPr>
              <w:instrText xml:space="preserve"> ADDIN ZOTERO_ITEM CSL_CITATION {"citationID":"TIMB6mxh","properties":{"formattedCitation":"\\super 13\\nosupersub{}","plainCitation":"13","noteIndex":0},"citationItems":[{"id":3877,"uris":["http://zotero.org/users/2709798/items/M986FFGJ"],"uri":["http://zotero.org/users/2709798/items/M986FFGJ"],"itemData":{"id":3877,"type":"article-journal","abstract":"The oxidation state of volcanic gas emissions influences the composition of the exosphere and planetary habitability. It is widely considered to be associated with the oxidation state of the melt from which volatiles exsolve. Here, we present a global synthesis of volcanic gas measurements. We define the mean oxidation state of volcanic gas emissions on Earth today and show that, globally, gas oxidation state, relative to rock buffers, is a strong function of emission temperature, increasing by several orders of magnitude as temperature decreases. The trend is independent of melt composition and geodynamic setting. This observation may explain why the mean oxidation state of volcanic gas emissions on Earth has apparently increased since the Archean, without a corresponding shift in melt oxidation state. We argue that progressive cooling of the mantle and the cessation of komatiite generation should have been accompanied by a substantial increase of the oxidation state of volcanic gases around the onset of the Great Oxidation Event. This may have accelerated or facilitated the transition to an oxygen-rich atmosphere. Overall, our data, along with previous work, show that there are no single nor simple relationships between mantle-, magma- and volcanic gas-redox states.","container-title":"Earth and Planetary Science Letters","DOI":"10.1016/j.epsl.2019.05.036","ISSN":"0012-821X","journalAbbreviation":"Earth and Planetary Science Letters","language":"en","page":"260-267","source":"ScienceDirect","title":"On the relationship between oxidation state and temperature of volcanic gas emissions","volume":"520","author":[{"family":"Moussallam","given":"Yves"},{"family":"Oppenheimer","given":"Clive"},{"family":"Scaillet","given":"Bruno"}],"issued":{"date-parts":[["2019",8,15]]}}}],"schema":"https://github.com/citation-style-language/schema/raw/master/csl-citation.json"} </w:instrText>
            </w:r>
            <w:r w:rsidR="008C4F1C">
              <w:rPr>
                <w:rFonts w:ascii="Arial" w:hAnsi="Arial" w:cs="Arial"/>
                <w:sz w:val="20"/>
                <w:lang w:val="en-GB"/>
              </w:rPr>
              <w:fldChar w:fldCharType="separate"/>
            </w:r>
            <w:r w:rsidR="008C4F1C" w:rsidRPr="008C4F1C">
              <w:rPr>
                <w:rFonts w:ascii="Arial" w:hAnsi="Arial" w:cs="Arial"/>
                <w:sz w:val="20"/>
                <w:vertAlign w:val="superscript"/>
              </w:rPr>
              <w:t>13</w:t>
            </w:r>
            <w:r w:rsidR="008C4F1C">
              <w:rPr>
                <w:rFonts w:ascii="Arial" w:hAnsi="Arial" w:cs="Arial"/>
                <w:sz w:val="20"/>
                <w:lang w:val="en-GB"/>
              </w:rPr>
              <w:fldChar w:fldCharType="end"/>
            </w:r>
          </w:p>
        </w:tc>
        <w:tc>
          <w:tcPr>
            <w:tcW w:w="2273" w:type="dxa"/>
            <w:tcBorders>
              <w:top w:val="single" w:sz="4" w:space="0" w:color="auto"/>
              <w:left w:val="nil"/>
              <w:bottom w:val="single" w:sz="2" w:space="0" w:color="auto"/>
              <w:right w:val="nil"/>
            </w:tcBorders>
            <w:vAlign w:val="center"/>
          </w:tcPr>
          <w:p w14:paraId="567B4CEA" w14:textId="77777777" w:rsidR="004E72B3" w:rsidRPr="004E72B3" w:rsidRDefault="004E72B3" w:rsidP="004E72B3">
            <w:pPr>
              <w:rPr>
                <w:rFonts w:ascii="Arial" w:hAnsi="Arial" w:cs="Arial"/>
                <w:sz w:val="20"/>
                <w:lang w:val="en-GB"/>
              </w:rPr>
            </w:pPr>
            <w:r w:rsidRPr="004E72B3">
              <w:rPr>
                <w:rFonts w:ascii="Arial" w:hAnsi="Arial" w:cs="Arial"/>
                <w:sz w:val="20"/>
                <w:lang w:val="en-GB"/>
              </w:rPr>
              <w:t>+0.2</w:t>
            </w:r>
          </w:p>
        </w:tc>
      </w:tr>
    </w:tbl>
    <w:p w14:paraId="1B4BA4F4" w14:textId="4C321409" w:rsidR="00B9440A" w:rsidRPr="00DC623A" w:rsidRDefault="004E72B3" w:rsidP="008C4F1C">
      <w:pPr>
        <w:rPr>
          <w:rFonts w:ascii="Arial" w:hAnsi="Arial" w:cs="Arial"/>
          <w:sz w:val="20"/>
        </w:rPr>
      </w:pPr>
      <w:r>
        <w:rPr>
          <w:rFonts w:ascii="Arial" w:hAnsi="Arial" w:cs="Arial"/>
          <w:sz w:val="20"/>
        </w:rPr>
        <w:br w:type="page"/>
      </w:r>
    </w:p>
    <w:p w14:paraId="2C62ED3E" w14:textId="270C1E01" w:rsidR="00C50C6D" w:rsidRPr="00DC623A" w:rsidRDefault="00CF16C9" w:rsidP="00840BB2">
      <w:pPr>
        <w:pStyle w:val="SMHeading"/>
        <w:rPr>
          <w:rFonts w:ascii="Arial" w:hAnsi="Arial" w:cs="Arial"/>
          <w:sz w:val="20"/>
          <w:szCs w:val="20"/>
        </w:rPr>
      </w:pPr>
      <w:r w:rsidRPr="00C43442">
        <w:rPr>
          <w:rFonts w:ascii="Arial" w:hAnsi="Arial" w:cs="Arial"/>
          <w:sz w:val="20"/>
          <w:szCs w:val="20"/>
        </w:rPr>
        <w:lastRenderedPageBreak/>
        <w:t>Dataset</w:t>
      </w:r>
      <w:r w:rsidR="00C50C6D" w:rsidRPr="00C43442">
        <w:rPr>
          <w:rFonts w:ascii="Arial" w:hAnsi="Arial" w:cs="Arial"/>
          <w:bCs w:val="0"/>
          <w:sz w:val="20"/>
          <w:szCs w:val="20"/>
        </w:rPr>
        <w:t xml:space="preserve"> S1 (separate file)</w:t>
      </w:r>
      <w:r w:rsidR="002C667A" w:rsidRPr="00C43442">
        <w:rPr>
          <w:rFonts w:ascii="Arial" w:hAnsi="Arial" w:cs="Arial"/>
          <w:sz w:val="20"/>
          <w:szCs w:val="20"/>
        </w:rPr>
        <w:t>.</w:t>
      </w:r>
      <w:r w:rsidR="00F25DEF" w:rsidRPr="00C43442">
        <w:rPr>
          <w:rFonts w:ascii="Arial" w:hAnsi="Arial" w:cs="Arial"/>
          <w:sz w:val="20"/>
          <w:szCs w:val="20"/>
        </w:rPr>
        <w:t xml:space="preserve"> </w:t>
      </w:r>
      <w:r w:rsidR="00C43442" w:rsidRPr="00C43442">
        <w:rPr>
          <w:rFonts w:ascii="Arial" w:hAnsi="Arial" w:cs="Arial"/>
          <w:b w:val="0"/>
          <w:sz w:val="20"/>
          <w:szCs w:val="20"/>
        </w:rPr>
        <w:t>Chemical</w:t>
      </w:r>
      <w:r w:rsidR="00C43442">
        <w:rPr>
          <w:rFonts w:ascii="Arial" w:hAnsi="Arial" w:cs="Arial"/>
          <w:b w:val="0"/>
          <w:sz w:val="20"/>
          <w:szCs w:val="20"/>
        </w:rPr>
        <w:t xml:space="preserve"> compositional data from ice core record used in this study, tephra compositions, and chemical speciation modelling results.</w:t>
      </w:r>
      <w:r w:rsidR="00C50C6D" w:rsidRPr="00DC623A">
        <w:rPr>
          <w:rFonts w:ascii="Arial" w:hAnsi="Arial" w:cs="Arial"/>
          <w:b w:val="0"/>
          <w:sz w:val="20"/>
          <w:szCs w:val="20"/>
        </w:rPr>
        <w:t xml:space="preserve">  </w:t>
      </w:r>
    </w:p>
    <w:p w14:paraId="6A341F04" w14:textId="77777777" w:rsidR="00C50C6D" w:rsidRPr="00DC623A" w:rsidRDefault="00C50C6D" w:rsidP="00477182">
      <w:pPr>
        <w:pStyle w:val="SMcaption"/>
        <w:rPr>
          <w:rFonts w:ascii="Arial" w:hAnsi="Arial" w:cs="Arial"/>
          <w:sz w:val="20"/>
        </w:rPr>
      </w:pPr>
    </w:p>
    <w:p w14:paraId="0AA738C7" w14:textId="77777777" w:rsidR="00030840" w:rsidRPr="00DC623A" w:rsidRDefault="00030840" w:rsidP="00477182">
      <w:pPr>
        <w:pStyle w:val="SMcaption"/>
        <w:rPr>
          <w:rFonts w:ascii="Arial" w:hAnsi="Arial" w:cs="Arial"/>
          <w:sz w:val="20"/>
        </w:rPr>
      </w:pPr>
    </w:p>
    <w:p w14:paraId="6C96BED5" w14:textId="4B2FC6DA" w:rsidR="00820484" w:rsidRPr="00DC623A" w:rsidRDefault="00F514EC" w:rsidP="00477182">
      <w:pPr>
        <w:pStyle w:val="SMcaption"/>
        <w:rPr>
          <w:rFonts w:ascii="Arial" w:hAnsi="Arial" w:cs="Arial"/>
          <w:b/>
          <w:sz w:val="20"/>
        </w:rPr>
      </w:pPr>
      <w:r w:rsidRPr="00DC623A">
        <w:rPr>
          <w:rFonts w:ascii="Arial" w:hAnsi="Arial" w:cs="Arial"/>
          <w:b/>
          <w:sz w:val="20"/>
        </w:rPr>
        <w:t xml:space="preserve">SI </w:t>
      </w:r>
      <w:r w:rsidR="00820484" w:rsidRPr="00DC623A">
        <w:rPr>
          <w:rFonts w:ascii="Arial" w:hAnsi="Arial" w:cs="Arial"/>
          <w:b/>
          <w:sz w:val="20"/>
        </w:rPr>
        <w:t>References</w:t>
      </w:r>
    </w:p>
    <w:p w14:paraId="59D77E69" w14:textId="7EA1072C" w:rsidR="002C667A" w:rsidRPr="00DC623A" w:rsidRDefault="002C667A" w:rsidP="00477182">
      <w:pPr>
        <w:pStyle w:val="SMcaption"/>
        <w:rPr>
          <w:rFonts w:ascii="Arial" w:hAnsi="Arial" w:cs="Arial"/>
          <w:b/>
          <w:sz w:val="20"/>
        </w:rPr>
      </w:pPr>
    </w:p>
    <w:p w14:paraId="50C0C08B" w14:textId="77777777" w:rsidR="00A912B5" w:rsidRPr="00A912B5" w:rsidRDefault="00A912B5" w:rsidP="00A912B5">
      <w:pPr>
        <w:pStyle w:val="Bibliography"/>
        <w:rPr>
          <w:rFonts w:ascii="Arial" w:hAnsi="Arial" w:cs="Arial"/>
          <w:sz w:val="20"/>
        </w:rPr>
      </w:pPr>
      <w:r>
        <w:rPr>
          <w:rFonts w:ascii="Arial" w:hAnsi="Arial" w:cs="Arial"/>
          <w:sz w:val="20"/>
        </w:rPr>
        <w:fldChar w:fldCharType="begin"/>
      </w:r>
      <w:r>
        <w:rPr>
          <w:rFonts w:ascii="Arial" w:hAnsi="Arial" w:cs="Arial"/>
          <w:sz w:val="20"/>
        </w:rPr>
        <w:instrText xml:space="preserve"> ADDIN ZOTERO_BIBL {"uncited":[],"omitted":[],"custom":[]} CSL_BIBLIOGRAPHY </w:instrText>
      </w:r>
      <w:r>
        <w:rPr>
          <w:rFonts w:ascii="Arial" w:hAnsi="Arial" w:cs="Arial"/>
          <w:sz w:val="20"/>
        </w:rPr>
        <w:fldChar w:fldCharType="separate"/>
      </w:r>
      <w:r w:rsidRPr="00A912B5">
        <w:rPr>
          <w:rFonts w:ascii="Arial" w:hAnsi="Arial" w:cs="Arial"/>
          <w:sz w:val="20"/>
        </w:rPr>
        <w:t>1.</w:t>
      </w:r>
      <w:r w:rsidRPr="00A912B5">
        <w:rPr>
          <w:rFonts w:ascii="Arial" w:hAnsi="Arial" w:cs="Arial"/>
          <w:sz w:val="20"/>
        </w:rPr>
        <w:tab/>
        <w:t xml:space="preserve">McConnell, J. R. </w:t>
      </w:r>
      <w:r w:rsidRPr="00A912B5">
        <w:rPr>
          <w:rFonts w:ascii="Arial" w:hAnsi="Arial" w:cs="Arial"/>
          <w:i/>
          <w:iCs/>
          <w:sz w:val="20"/>
        </w:rPr>
        <w:t>et al.</w:t>
      </w:r>
      <w:r w:rsidRPr="00A912B5">
        <w:rPr>
          <w:rFonts w:ascii="Arial" w:hAnsi="Arial" w:cs="Arial"/>
          <w:sz w:val="20"/>
        </w:rPr>
        <w:t xml:space="preserve"> Synchronous volcanic eruptions and abrupt climate change ∼17.7 ka plausibly linked by stratospheric ozone depletion. </w:t>
      </w:r>
      <w:r w:rsidRPr="00A912B5">
        <w:rPr>
          <w:rFonts w:ascii="Arial" w:hAnsi="Arial" w:cs="Arial"/>
          <w:i/>
          <w:iCs/>
          <w:sz w:val="20"/>
        </w:rPr>
        <w:t>Proc. Natl. Acad. Sci.</w:t>
      </w:r>
      <w:r w:rsidRPr="00A912B5">
        <w:rPr>
          <w:rFonts w:ascii="Arial" w:hAnsi="Arial" w:cs="Arial"/>
          <w:sz w:val="20"/>
        </w:rPr>
        <w:t xml:space="preserve"> </w:t>
      </w:r>
      <w:r w:rsidRPr="00A912B5">
        <w:rPr>
          <w:rFonts w:ascii="Arial" w:hAnsi="Arial" w:cs="Arial"/>
          <w:b/>
          <w:bCs/>
          <w:sz w:val="20"/>
        </w:rPr>
        <w:t>114</w:t>
      </w:r>
      <w:r w:rsidRPr="00A912B5">
        <w:rPr>
          <w:rFonts w:ascii="Arial" w:hAnsi="Arial" w:cs="Arial"/>
          <w:sz w:val="20"/>
        </w:rPr>
        <w:t>, 10035–10040 (2017).</w:t>
      </w:r>
    </w:p>
    <w:p w14:paraId="0DA76CB1" w14:textId="77777777" w:rsidR="00A912B5" w:rsidRPr="00A912B5" w:rsidRDefault="00A912B5" w:rsidP="00A912B5">
      <w:pPr>
        <w:pStyle w:val="Bibliography"/>
        <w:rPr>
          <w:rFonts w:ascii="Arial" w:hAnsi="Arial" w:cs="Arial"/>
          <w:sz w:val="20"/>
        </w:rPr>
      </w:pPr>
      <w:r w:rsidRPr="00A912B5">
        <w:rPr>
          <w:rFonts w:ascii="Arial" w:hAnsi="Arial" w:cs="Arial"/>
          <w:sz w:val="20"/>
        </w:rPr>
        <w:t>2.</w:t>
      </w:r>
      <w:r w:rsidRPr="00A912B5">
        <w:rPr>
          <w:rFonts w:ascii="Arial" w:hAnsi="Arial" w:cs="Arial"/>
          <w:sz w:val="20"/>
        </w:rPr>
        <w:tab/>
        <w:t xml:space="preserve">Aiuppa, A., Dongarrà, G., Valenza, M., Federico, C. &amp; Pecoraino, G. Degassing of Trace Volatile Metals During the 2001 Eruption of Etna. </w:t>
      </w:r>
      <w:r w:rsidRPr="00A912B5">
        <w:rPr>
          <w:rFonts w:ascii="Arial" w:hAnsi="Arial" w:cs="Arial"/>
          <w:i/>
          <w:iCs/>
          <w:sz w:val="20"/>
        </w:rPr>
        <w:t>Volcanism Earths Atmosphere</w:t>
      </w:r>
      <w:r w:rsidRPr="00A912B5">
        <w:rPr>
          <w:rFonts w:ascii="Arial" w:hAnsi="Arial" w:cs="Arial"/>
          <w:sz w:val="20"/>
        </w:rPr>
        <w:t xml:space="preserve"> (2003) doi:10.1029/139GM03.</w:t>
      </w:r>
    </w:p>
    <w:p w14:paraId="6B016DC2" w14:textId="77777777" w:rsidR="00A912B5" w:rsidRPr="00A912B5" w:rsidRDefault="00A912B5" w:rsidP="00A912B5">
      <w:pPr>
        <w:pStyle w:val="Bibliography"/>
        <w:rPr>
          <w:rFonts w:ascii="Arial" w:hAnsi="Arial" w:cs="Arial"/>
          <w:sz w:val="20"/>
        </w:rPr>
      </w:pPr>
      <w:r w:rsidRPr="00A912B5">
        <w:rPr>
          <w:rFonts w:ascii="Arial" w:hAnsi="Arial" w:cs="Arial"/>
          <w:sz w:val="20"/>
        </w:rPr>
        <w:t>3.</w:t>
      </w:r>
      <w:r w:rsidRPr="00A912B5">
        <w:rPr>
          <w:rFonts w:ascii="Arial" w:hAnsi="Arial" w:cs="Arial"/>
          <w:sz w:val="20"/>
        </w:rPr>
        <w:tab/>
        <w:t xml:space="preserve">Allard, P. </w:t>
      </w:r>
      <w:r w:rsidRPr="00A912B5">
        <w:rPr>
          <w:rFonts w:ascii="Arial" w:hAnsi="Arial" w:cs="Arial"/>
          <w:i/>
          <w:iCs/>
          <w:sz w:val="20"/>
        </w:rPr>
        <w:t>et al.</w:t>
      </w:r>
      <w:r w:rsidRPr="00A912B5">
        <w:rPr>
          <w:rFonts w:ascii="Arial" w:hAnsi="Arial" w:cs="Arial"/>
          <w:sz w:val="20"/>
        </w:rPr>
        <w:t xml:space="preserve"> Acid gas and metal emission rates during long‐lived basalt degassing at Stromboli Volcano. </w:t>
      </w:r>
      <w:r w:rsidRPr="00A912B5">
        <w:rPr>
          <w:rFonts w:ascii="Arial" w:hAnsi="Arial" w:cs="Arial"/>
          <w:i/>
          <w:iCs/>
          <w:sz w:val="20"/>
        </w:rPr>
        <w:t>Geophys. Res. Lett.</w:t>
      </w:r>
      <w:r w:rsidRPr="00A912B5">
        <w:rPr>
          <w:rFonts w:ascii="Arial" w:hAnsi="Arial" w:cs="Arial"/>
          <w:sz w:val="20"/>
        </w:rPr>
        <w:t xml:space="preserve"> </w:t>
      </w:r>
      <w:r w:rsidRPr="00A912B5">
        <w:rPr>
          <w:rFonts w:ascii="Arial" w:hAnsi="Arial" w:cs="Arial"/>
          <w:b/>
          <w:bCs/>
          <w:sz w:val="20"/>
        </w:rPr>
        <w:t>27</w:t>
      </w:r>
      <w:r w:rsidRPr="00A912B5">
        <w:rPr>
          <w:rFonts w:ascii="Arial" w:hAnsi="Arial" w:cs="Arial"/>
          <w:sz w:val="20"/>
        </w:rPr>
        <w:t>, 1207–1210 (2000).</w:t>
      </w:r>
    </w:p>
    <w:p w14:paraId="30DC92CE" w14:textId="77777777" w:rsidR="00A912B5" w:rsidRPr="00A912B5" w:rsidRDefault="00A912B5" w:rsidP="00A912B5">
      <w:pPr>
        <w:pStyle w:val="Bibliography"/>
        <w:rPr>
          <w:rFonts w:ascii="Arial" w:hAnsi="Arial" w:cs="Arial"/>
          <w:sz w:val="20"/>
        </w:rPr>
      </w:pPr>
      <w:r w:rsidRPr="00A912B5">
        <w:rPr>
          <w:rFonts w:ascii="Arial" w:hAnsi="Arial" w:cs="Arial"/>
          <w:sz w:val="20"/>
        </w:rPr>
        <w:t>4.</w:t>
      </w:r>
      <w:r w:rsidRPr="00A912B5">
        <w:rPr>
          <w:rFonts w:ascii="Arial" w:hAnsi="Arial" w:cs="Arial"/>
          <w:sz w:val="20"/>
        </w:rPr>
        <w:tab/>
        <w:t xml:space="preserve">Mason, E. </w:t>
      </w:r>
      <w:r w:rsidRPr="00A912B5">
        <w:rPr>
          <w:rFonts w:ascii="Arial" w:hAnsi="Arial" w:cs="Arial"/>
          <w:i/>
          <w:iCs/>
          <w:sz w:val="20"/>
        </w:rPr>
        <w:t>et al.</w:t>
      </w:r>
      <w:r w:rsidRPr="00A912B5">
        <w:rPr>
          <w:rFonts w:ascii="Arial" w:hAnsi="Arial" w:cs="Arial"/>
          <w:sz w:val="20"/>
        </w:rPr>
        <w:t xml:space="preserve"> Volatile metal emissions from volcanic degassing and lava–seawater interactions at Kīlauea Volcano, Hawai’i. </w:t>
      </w:r>
      <w:r w:rsidRPr="00A912B5">
        <w:rPr>
          <w:rFonts w:ascii="Arial" w:hAnsi="Arial" w:cs="Arial"/>
          <w:i/>
          <w:iCs/>
          <w:sz w:val="20"/>
        </w:rPr>
        <w:t>Commun. Earth Environ.</w:t>
      </w:r>
      <w:r w:rsidRPr="00A912B5">
        <w:rPr>
          <w:rFonts w:ascii="Arial" w:hAnsi="Arial" w:cs="Arial"/>
          <w:sz w:val="20"/>
        </w:rPr>
        <w:t xml:space="preserve"> </w:t>
      </w:r>
      <w:r w:rsidRPr="00A912B5">
        <w:rPr>
          <w:rFonts w:ascii="Arial" w:hAnsi="Arial" w:cs="Arial"/>
          <w:b/>
          <w:bCs/>
          <w:sz w:val="20"/>
        </w:rPr>
        <w:t>2</w:t>
      </w:r>
      <w:r w:rsidRPr="00A912B5">
        <w:rPr>
          <w:rFonts w:ascii="Arial" w:hAnsi="Arial" w:cs="Arial"/>
          <w:sz w:val="20"/>
        </w:rPr>
        <w:t>, 1–16 (2021).</w:t>
      </w:r>
    </w:p>
    <w:p w14:paraId="18F8AEE6" w14:textId="77777777" w:rsidR="00A912B5" w:rsidRPr="00A912B5" w:rsidRDefault="00A912B5" w:rsidP="00A912B5">
      <w:pPr>
        <w:pStyle w:val="Bibliography"/>
        <w:rPr>
          <w:rFonts w:ascii="Arial" w:hAnsi="Arial" w:cs="Arial"/>
          <w:sz w:val="20"/>
        </w:rPr>
      </w:pPr>
      <w:r w:rsidRPr="00A912B5">
        <w:rPr>
          <w:rFonts w:ascii="Arial" w:hAnsi="Arial" w:cs="Arial"/>
          <w:sz w:val="20"/>
        </w:rPr>
        <w:t>5.</w:t>
      </w:r>
      <w:r w:rsidRPr="00A912B5">
        <w:rPr>
          <w:rFonts w:ascii="Arial" w:hAnsi="Arial" w:cs="Arial"/>
          <w:sz w:val="20"/>
        </w:rPr>
        <w:tab/>
        <w:t xml:space="preserve">Zelenski, M. E. </w:t>
      </w:r>
      <w:r w:rsidRPr="00A912B5">
        <w:rPr>
          <w:rFonts w:ascii="Arial" w:hAnsi="Arial" w:cs="Arial"/>
          <w:i/>
          <w:iCs/>
          <w:sz w:val="20"/>
        </w:rPr>
        <w:t>et al.</w:t>
      </w:r>
      <w:r w:rsidRPr="00A912B5">
        <w:rPr>
          <w:rFonts w:ascii="Arial" w:hAnsi="Arial" w:cs="Arial"/>
          <w:sz w:val="20"/>
        </w:rPr>
        <w:t xml:space="preserve"> Trace elements in the gas emissions from the Erta Ale volcano, Afar, Ethiopia. </w:t>
      </w:r>
      <w:r w:rsidRPr="00A912B5">
        <w:rPr>
          <w:rFonts w:ascii="Arial" w:hAnsi="Arial" w:cs="Arial"/>
          <w:i/>
          <w:iCs/>
          <w:sz w:val="20"/>
        </w:rPr>
        <w:t>Chem. Geol.</w:t>
      </w:r>
      <w:r w:rsidRPr="00A912B5">
        <w:rPr>
          <w:rFonts w:ascii="Arial" w:hAnsi="Arial" w:cs="Arial"/>
          <w:sz w:val="20"/>
        </w:rPr>
        <w:t xml:space="preserve"> </w:t>
      </w:r>
      <w:r w:rsidRPr="00A912B5">
        <w:rPr>
          <w:rFonts w:ascii="Arial" w:hAnsi="Arial" w:cs="Arial"/>
          <w:b/>
          <w:bCs/>
          <w:sz w:val="20"/>
        </w:rPr>
        <w:t>357</w:t>
      </w:r>
      <w:r w:rsidRPr="00A912B5">
        <w:rPr>
          <w:rFonts w:ascii="Arial" w:hAnsi="Arial" w:cs="Arial"/>
          <w:sz w:val="20"/>
        </w:rPr>
        <w:t>, 95–116 (2013).</w:t>
      </w:r>
    </w:p>
    <w:p w14:paraId="175A5AAA" w14:textId="77777777" w:rsidR="00A912B5" w:rsidRPr="00A912B5" w:rsidRDefault="00A912B5" w:rsidP="00A912B5">
      <w:pPr>
        <w:pStyle w:val="Bibliography"/>
        <w:rPr>
          <w:rFonts w:ascii="Arial" w:hAnsi="Arial" w:cs="Arial"/>
          <w:sz w:val="20"/>
        </w:rPr>
      </w:pPr>
      <w:r w:rsidRPr="00A912B5">
        <w:rPr>
          <w:rFonts w:ascii="Arial" w:hAnsi="Arial" w:cs="Arial"/>
          <w:sz w:val="20"/>
        </w:rPr>
        <w:t>6.</w:t>
      </w:r>
      <w:r w:rsidRPr="00A912B5">
        <w:rPr>
          <w:rFonts w:ascii="Arial" w:hAnsi="Arial" w:cs="Arial"/>
          <w:sz w:val="20"/>
        </w:rPr>
        <w:tab/>
        <w:t xml:space="preserve">Wardell, L. J., Kyle, P. R. &amp; Counce, D. Volcanic emissions of metals and halogens from White Island (New Zealand) and Erebus volcano (Antarctica) determined with chemical traps. </w:t>
      </w:r>
      <w:r w:rsidRPr="00A912B5">
        <w:rPr>
          <w:rFonts w:ascii="Arial" w:hAnsi="Arial" w:cs="Arial"/>
          <w:i/>
          <w:iCs/>
          <w:sz w:val="20"/>
        </w:rPr>
        <w:t>J. Volcanol. Geotherm. Res.</w:t>
      </w:r>
      <w:r w:rsidRPr="00A912B5">
        <w:rPr>
          <w:rFonts w:ascii="Arial" w:hAnsi="Arial" w:cs="Arial"/>
          <w:sz w:val="20"/>
        </w:rPr>
        <w:t xml:space="preserve"> </w:t>
      </w:r>
      <w:r w:rsidRPr="00A912B5">
        <w:rPr>
          <w:rFonts w:ascii="Arial" w:hAnsi="Arial" w:cs="Arial"/>
          <w:b/>
          <w:bCs/>
          <w:sz w:val="20"/>
        </w:rPr>
        <w:t>177</w:t>
      </w:r>
      <w:r w:rsidRPr="00A912B5">
        <w:rPr>
          <w:rFonts w:ascii="Arial" w:hAnsi="Arial" w:cs="Arial"/>
          <w:sz w:val="20"/>
        </w:rPr>
        <w:t>, 734–742 (2008).</w:t>
      </w:r>
    </w:p>
    <w:p w14:paraId="0054EC93" w14:textId="77777777" w:rsidR="00A912B5" w:rsidRPr="00A912B5" w:rsidRDefault="00A912B5" w:rsidP="00A912B5">
      <w:pPr>
        <w:pStyle w:val="Bibliography"/>
        <w:rPr>
          <w:rFonts w:ascii="Arial" w:hAnsi="Arial" w:cs="Arial"/>
          <w:sz w:val="20"/>
        </w:rPr>
      </w:pPr>
      <w:r w:rsidRPr="00A912B5">
        <w:rPr>
          <w:rFonts w:ascii="Arial" w:hAnsi="Arial" w:cs="Arial"/>
          <w:sz w:val="20"/>
        </w:rPr>
        <w:t>7.</w:t>
      </w:r>
      <w:r w:rsidRPr="00A912B5">
        <w:rPr>
          <w:rFonts w:ascii="Arial" w:hAnsi="Arial" w:cs="Arial"/>
          <w:sz w:val="20"/>
        </w:rPr>
        <w:tab/>
        <w:t xml:space="preserve">Zreda‐Gostynska, G., Kyle, P. R., Finnegan, D. &amp; Prestbo, K. M. Volcanic gas emissions from Mount Erebus and their impact on the Antarctic environment. </w:t>
      </w:r>
      <w:r w:rsidRPr="00A912B5">
        <w:rPr>
          <w:rFonts w:ascii="Arial" w:hAnsi="Arial" w:cs="Arial"/>
          <w:i/>
          <w:iCs/>
          <w:sz w:val="20"/>
        </w:rPr>
        <w:t>J. Geophys. Res. Solid Earth</w:t>
      </w:r>
      <w:r w:rsidRPr="00A912B5">
        <w:rPr>
          <w:rFonts w:ascii="Arial" w:hAnsi="Arial" w:cs="Arial"/>
          <w:sz w:val="20"/>
        </w:rPr>
        <w:t xml:space="preserve"> </w:t>
      </w:r>
      <w:r w:rsidRPr="00A912B5">
        <w:rPr>
          <w:rFonts w:ascii="Arial" w:hAnsi="Arial" w:cs="Arial"/>
          <w:b/>
          <w:bCs/>
          <w:sz w:val="20"/>
        </w:rPr>
        <w:t>102</w:t>
      </w:r>
      <w:r w:rsidRPr="00A912B5">
        <w:rPr>
          <w:rFonts w:ascii="Arial" w:hAnsi="Arial" w:cs="Arial"/>
          <w:sz w:val="20"/>
        </w:rPr>
        <w:t>, 15039–15055 (1997).</w:t>
      </w:r>
    </w:p>
    <w:p w14:paraId="55047B73" w14:textId="77777777" w:rsidR="00A912B5" w:rsidRPr="00A912B5" w:rsidRDefault="00A912B5" w:rsidP="00A912B5">
      <w:pPr>
        <w:pStyle w:val="Bibliography"/>
        <w:rPr>
          <w:rFonts w:ascii="Arial" w:hAnsi="Arial" w:cs="Arial"/>
          <w:sz w:val="20"/>
        </w:rPr>
      </w:pPr>
      <w:r w:rsidRPr="00A912B5">
        <w:rPr>
          <w:rFonts w:ascii="Arial" w:hAnsi="Arial" w:cs="Arial"/>
          <w:sz w:val="20"/>
        </w:rPr>
        <w:t>8.</w:t>
      </w:r>
      <w:r w:rsidRPr="00A912B5">
        <w:rPr>
          <w:rFonts w:ascii="Arial" w:hAnsi="Arial" w:cs="Arial"/>
          <w:sz w:val="20"/>
        </w:rPr>
        <w:tab/>
        <w:t xml:space="preserve">Calabrese, S. </w:t>
      </w:r>
      <w:r w:rsidRPr="00A912B5">
        <w:rPr>
          <w:rFonts w:ascii="Arial" w:hAnsi="Arial" w:cs="Arial"/>
          <w:i/>
          <w:iCs/>
          <w:sz w:val="20"/>
        </w:rPr>
        <w:t>et al.</w:t>
      </w:r>
      <w:r w:rsidRPr="00A912B5">
        <w:rPr>
          <w:rFonts w:ascii="Arial" w:hAnsi="Arial" w:cs="Arial"/>
          <w:sz w:val="20"/>
        </w:rPr>
        <w:t xml:space="preserve"> Passive degassing at Nyiragongo (D.R. Congo) and Etna (Italy) volcanoes. </w:t>
      </w:r>
      <w:r w:rsidRPr="00A912B5">
        <w:rPr>
          <w:rFonts w:ascii="Arial" w:hAnsi="Arial" w:cs="Arial"/>
          <w:i/>
          <w:iCs/>
          <w:sz w:val="20"/>
        </w:rPr>
        <w:t>Ann. Geophys.</w:t>
      </w:r>
      <w:r w:rsidRPr="00A912B5">
        <w:rPr>
          <w:rFonts w:ascii="Arial" w:hAnsi="Arial" w:cs="Arial"/>
          <w:sz w:val="20"/>
        </w:rPr>
        <w:t xml:space="preserve"> </w:t>
      </w:r>
      <w:r w:rsidRPr="00A912B5">
        <w:rPr>
          <w:rFonts w:ascii="Arial" w:hAnsi="Arial" w:cs="Arial"/>
          <w:b/>
          <w:bCs/>
          <w:sz w:val="20"/>
        </w:rPr>
        <w:t>57</w:t>
      </w:r>
      <w:r w:rsidRPr="00A912B5">
        <w:rPr>
          <w:rFonts w:ascii="Arial" w:hAnsi="Arial" w:cs="Arial"/>
          <w:sz w:val="20"/>
        </w:rPr>
        <w:t>, (2015).</w:t>
      </w:r>
    </w:p>
    <w:p w14:paraId="2800BF86" w14:textId="77777777" w:rsidR="00A912B5" w:rsidRPr="00A912B5" w:rsidRDefault="00A912B5" w:rsidP="00A912B5">
      <w:pPr>
        <w:pStyle w:val="Bibliography"/>
        <w:rPr>
          <w:rFonts w:ascii="Arial" w:hAnsi="Arial" w:cs="Arial"/>
          <w:sz w:val="20"/>
        </w:rPr>
      </w:pPr>
      <w:r w:rsidRPr="00A912B5">
        <w:rPr>
          <w:rFonts w:ascii="Arial" w:hAnsi="Arial" w:cs="Arial"/>
          <w:sz w:val="20"/>
        </w:rPr>
        <w:t>9.</w:t>
      </w:r>
      <w:r w:rsidRPr="00A912B5">
        <w:rPr>
          <w:rFonts w:ascii="Arial" w:hAnsi="Arial" w:cs="Arial"/>
          <w:sz w:val="20"/>
        </w:rPr>
        <w:tab/>
        <w:t xml:space="preserve">Ilyinskaya, E. </w:t>
      </w:r>
      <w:r w:rsidRPr="00A912B5">
        <w:rPr>
          <w:rFonts w:ascii="Arial" w:hAnsi="Arial" w:cs="Arial"/>
          <w:i/>
          <w:iCs/>
          <w:sz w:val="20"/>
        </w:rPr>
        <w:t>et al.</w:t>
      </w:r>
      <w:r w:rsidRPr="00A912B5">
        <w:rPr>
          <w:rFonts w:ascii="Arial" w:hAnsi="Arial" w:cs="Arial"/>
          <w:sz w:val="20"/>
        </w:rPr>
        <w:t xml:space="preserve"> Rapid metal pollutant deposition from the volcanic plume of Kīlauea, Hawai’i. </w:t>
      </w:r>
      <w:r w:rsidRPr="00A912B5">
        <w:rPr>
          <w:rFonts w:ascii="Arial" w:hAnsi="Arial" w:cs="Arial"/>
          <w:i/>
          <w:iCs/>
          <w:sz w:val="20"/>
        </w:rPr>
        <w:t>Commun. Earth Environ.</w:t>
      </w:r>
      <w:r w:rsidRPr="00A912B5">
        <w:rPr>
          <w:rFonts w:ascii="Arial" w:hAnsi="Arial" w:cs="Arial"/>
          <w:sz w:val="20"/>
        </w:rPr>
        <w:t xml:space="preserve"> </w:t>
      </w:r>
      <w:r w:rsidRPr="00A912B5">
        <w:rPr>
          <w:rFonts w:ascii="Arial" w:hAnsi="Arial" w:cs="Arial"/>
          <w:b/>
          <w:bCs/>
          <w:sz w:val="20"/>
        </w:rPr>
        <w:t>2</w:t>
      </w:r>
      <w:r w:rsidRPr="00A912B5">
        <w:rPr>
          <w:rFonts w:ascii="Arial" w:hAnsi="Arial" w:cs="Arial"/>
          <w:sz w:val="20"/>
        </w:rPr>
        <w:t>, 1–15 (2021).</w:t>
      </w:r>
    </w:p>
    <w:p w14:paraId="3FC04A40" w14:textId="77777777" w:rsidR="00A912B5" w:rsidRPr="00A912B5" w:rsidRDefault="00A912B5" w:rsidP="00A912B5">
      <w:pPr>
        <w:pStyle w:val="Bibliography"/>
        <w:rPr>
          <w:rFonts w:ascii="Arial" w:hAnsi="Arial" w:cs="Arial"/>
          <w:sz w:val="20"/>
        </w:rPr>
      </w:pPr>
      <w:r w:rsidRPr="00A912B5">
        <w:rPr>
          <w:rFonts w:ascii="Arial" w:hAnsi="Arial" w:cs="Arial"/>
          <w:sz w:val="20"/>
        </w:rPr>
        <w:t>10.</w:t>
      </w:r>
      <w:r w:rsidRPr="00A912B5">
        <w:rPr>
          <w:rFonts w:ascii="Arial" w:hAnsi="Arial" w:cs="Arial"/>
          <w:sz w:val="20"/>
        </w:rPr>
        <w:tab/>
        <w:t xml:space="preserve">Mandon, C. L., Christenson, B. W., Schipper, C. I., Seward, T. M. &amp; Garaebiti, E. Metal transport in volcanic plumes: A case study at White Island and Yasur volcanoes. </w:t>
      </w:r>
      <w:r w:rsidRPr="00A912B5">
        <w:rPr>
          <w:rFonts w:ascii="Arial" w:hAnsi="Arial" w:cs="Arial"/>
          <w:i/>
          <w:iCs/>
          <w:sz w:val="20"/>
        </w:rPr>
        <w:t>J. Volcanol. Geotherm. Res.</w:t>
      </w:r>
      <w:r w:rsidRPr="00A912B5">
        <w:rPr>
          <w:rFonts w:ascii="Arial" w:hAnsi="Arial" w:cs="Arial"/>
          <w:sz w:val="20"/>
        </w:rPr>
        <w:t xml:space="preserve"> </w:t>
      </w:r>
      <w:r w:rsidRPr="00A912B5">
        <w:rPr>
          <w:rFonts w:ascii="Arial" w:hAnsi="Arial" w:cs="Arial"/>
          <w:b/>
          <w:bCs/>
          <w:sz w:val="20"/>
        </w:rPr>
        <w:t>369</w:t>
      </w:r>
      <w:r w:rsidRPr="00A912B5">
        <w:rPr>
          <w:rFonts w:ascii="Arial" w:hAnsi="Arial" w:cs="Arial"/>
          <w:sz w:val="20"/>
        </w:rPr>
        <w:t>, 155–171 (2019).</w:t>
      </w:r>
    </w:p>
    <w:p w14:paraId="4EED5988" w14:textId="77777777" w:rsidR="00A912B5" w:rsidRPr="00A912B5" w:rsidRDefault="00A912B5" w:rsidP="00A912B5">
      <w:pPr>
        <w:pStyle w:val="Bibliography"/>
        <w:rPr>
          <w:rFonts w:ascii="Arial" w:hAnsi="Arial" w:cs="Arial"/>
          <w:sz w:val="20"/>
        </w:rPr>
      </w:pPr>
      <w:r w:rsidRPr="00A912B5">
        <w:rPr>
          <w:rFonts w:ascii="Arial" w:hAnsi="Arial" w:cs="Arial"/>
          <w:sz w:val="20"/>
        </w:rPr>
        <w:lastRenderedPageBreak/>
        <w:t>11.</w:t>
      </w:r>
      <w:r w:rsidRPr="00A912B5">
        <w:rPr>
          <w:rFonts w:ascii="Arial" w:hAnsi="Arial" w:cs="Arial"/>
          <w:sz w:val="20"/>
        </w:rPr>
        <w:tab/>
        <w:t xml:space="preserve">Kyle, P. R., Meeker, K. &amp; Finnegan, D. Emission rates of sulfur dioxide, trace gases and metals from Mount Erebus, Antarctica. </w:t>
      </w:r>
      <w:r w:rsidRPr="00A912B5">
        <w:rPr>
          <w:rFonts w:ascii="Arial" w:hAnsi="Arial" w:cs="Arial"/>
          <w:i/>
          <w:iCs/>
          <w:sz w:val="20"/>
        </w:rPr>
        <w:t>Geophys. Res. Lett.</w:t>
      </w:r>
      <w:r w:rsidRPr="00A912B5">
        <w:rPr>
          <w:rFonts w:ascii="Arial" w:hAnsi="Arial" w:cs="Arial"/>
          <w:sz w:val="20"/>
        </w:rPr>
        <w:t xml:space="preserve"> </w:t>
      </w:r>
      <w:r w:rsidRPr="00A912B5">
        <w:rPr>
          <w:rFonts w:ascii="Arial" w:hAnsi="Arial" w:cs="Arial"/>
          <w:b/>
          <w:bCs/>
          <w:sz w:val="20"/>
        </w:rPr>
        <w:t>17</w:t>
      </w:r>
      <w:r w:rsidRPr="00A912B5">
        <w:rPr>
          <w:rFonts w:ascii="Arial" w:hAnsi="Arial" w:cs="Arial"/>
          <w:sz w:val="20"/>
        </w:rPr>
        <w:t>, 2125–2128 (1990).</w:t>
      </w:r>
    </w:p>
    <w:p w14:paraId="02909FE9" w14:textId="77777777" w:rsidR="00A912B5" w:rsidRPr="00A912B5" w:rsidRDefault="00A912B5" w:rsidP="00A912B5">
      <w:pPr>
        <w:pStyle w:val="Bibliography"/>
        <w:rPr>
          <w:rFonts w:ascii="Arial" w:hAnsi="Arial" w:cs="Arial"/>
          <w:sz w:val="20"/>
        </w:rPr>
      </w:pPr>
      <w:r w:rsidRPr="00A912B5">
        <w:rPr>
          <w:rFonts w:ascii="Arial" w:hAnsi="Arial" w:cs="Arial"/>
          <w:sz w:val="20"/>
        </w:rPr>
        <w:t>12.</w:t>
      </w:r>
      <w:r w:rsidRPr="00A912B5">
        <w:rPr>
          <w:rFonts w:ascii="Arial" w:hAnsi="Arial" w:cs="Arial"/>
          <w:sz w:val="20"/>
        </w:rPr>
        <w:tab/>
        <w:t xml:space="preserve">Moussallam, Y. </w:t>
      </w:r>
      <w:r w:rsidRPr="00A912B5">
        <w:rPr>
          <w:rFonts w:ascii="Arial" w:hAnsi="Arial" w:cs="Arial"/>
          <w:i/>
          <w:iCs/>
          <w:sz w:val="20"/>
        </w:rPr>
        <w:t>et al.</w:t>
      </w:r>
      <w:r w:rsidRPr="00A912B5">
        <w:rPr>
          <w:rFonts w:ascii="Arial" w:hAnsi="Arial" w:cs="Arial"/>
          <w:sz w:val="20"/>
        </w:rPr>
        <w:t xml:space="preserve"> Hydrogen emissions from Erebus volcano, Antarctica. </w:t>
      </w:r>
      <w:r w:rsidRPr="00A912B5">
        <w:rPr>
          <w:rFonts w:ascii="Arial" w:hAnsi="Arial" w:cs="Arial"/>
          <w:i/>
          <w:iCs/>
          <w:sz w:val="20"/>
        </w:rPr>
        <w:t>Bull. Volcanol.</w:t>
      </w:r>
      <w:r w:rsidRPr="00A912B5">
        <w:rPr>
          <w:rFonts w:ascii="Arial" w:hAnsi="Arial" w:cs="Arial"/>
          <w:sz w:val="20"/>
        </w:rPr>
        <w:t xml:space="preserve"> </w:t>
      </w:r>
      <w:r w:rsidRPr="00A912B5">
        <w:rPr>
          <w:rFonts w:ascii="Arial" w:hAnsi="Arial" w:cs="Arial"/>
          <w:b/>
          <w:bCs/>
          <w:sz w:val="20"/>
        </w:rPr>
        <w:t>74</w:t>
      </w:r>
      <w:r w:rsidRPr="00A912B5">
        <w:rPr>
          <w:rFonts w:ascii="Arial" w:hAnsi="Arial" w:cs="Arial"/>
          <w:sz w:val="20"/>
        </w:rPr>
        <w:t>, 2109–2120 (2012).</w:t>
      </w:r>
    </w:p>
    <w:p w14:paraId="01535789" w14:textId="77777777" w:rsidR="00A912B5" w:rsidRPr="00A912B5" w:rsidRDefault="00A912B5" w:rsidP="00A912B5">
      <w:pPr>
        <w:pStyle w:val="Bibliography"/>
        <w:rPr>
          <w:rFonts w:ascii="Arial" w:hAnsi="Arial" w:cs="Arial"/>
          <w:sz w:val="20"/>
        </w:rPr>
      </w:pPr>
      <w:r w:rsidRPr="00A912B5">
        <w:rPr>
          <w:rFonts w:ascii="Arial" w:hAnsi="Arial" w:cs="Arial"/>
          <w:sz w:val="20"/>
        </w:rPr>
        <w:t>13.</w:t>
      </w:r>
      <w:r w:rsidRPr="00A912B5">
        <w:rPr>
          <w:rFonts w:ascii="Arial" w:hAnsi="Arial" w:cs="Arial"/>
          <w:sz w:val="20"/>
        </w:rPr>
        <w:tab/>
        <w:t xml:space="preserve">Moussallam, Y., Oppenheimer, C. &amp; Scaillet, B. On the relationship between oxidation state and temperature of volcanic gas emissions. </w:t>
      </w:r>
      <w:r w:rsidRPr="00A912B5">
        <w:rPr>
          <w:rFonts w:ascii="Arial" w:hAnsi="Arial" w:cs="Arial"/>
          <w:i/>
          <w:iCs/>
          <w:sz w:val="20"/>
        </w:rPr>
        <w:t>Earth Planet. Sci. Lett.</w:t>
      </w:r>
      <w:r w:rsidRPr="00A912B5">
        <w:rPr>
          <w:rFonts w:ascii="Arial" w:hAnsi="Arial" w:cs="Arial"/>
          <w:sz w:val="20"/>
        </w:rPr>
        <w:t xml:space="preserve"> </w:t>
      </w:r>
      <w:r w:rsidRPr="00A912B5">
        <w:rPr>
          <w:rFonts w:ascii="Arial" w:hAnsi="Arial" w:cs="Arial"/>
          <w:b/>
          <w:bCs/>
          <w:sz w:val="20"/>
        </w:rPr>
        <w:t>520</w:t>
      </w:r>
      <w:r w:rsidRPr="00A912B5">
        <w:rPr>
          <w:rFonts w:ascii="Arial" w:hAnsi="Arial" w:cs="Arial"/>
          <w:sz w:val="20"/>
        </w:rPr>
        <w:t>, 260–267 (2019).</w:t>
      </w:r>
    </w:p>
    <w:p w14:paraId="10C22F57" w14:textId="3F25EB77" w:rsidR="007843C9" w:rsidRPr="00DC623A" w:rsidRDefault="00A912B5" w:rsidP="008A6A90">
      <w:pPr>
        <w:pStyle w:val="NormalWeb"/>
        <w:shd w:val="clear" w:color="auto" w:fill="FFFFFF"/>
        <w:textAlignment w:val="baseline"/>
        <w:rPr>
          <w:rFonts w:ascii="Arial" w:hAnsi="Arial" w:cs="Arial"/>
          <w:sz w:val="20"/>
          <w:szCs w:val="20"/>
        </w:rPr>
      </w:pPr>
      <w:r>
        <w:rPr>
          <w:rFonts w:ascii="Arial" w:hAnsi="Arial" w:cs="Arial"/>
          <w:sz w:val="20"/>
          <w:szCs w:val="20"/>
        </w:rPr>
        <w:fldChar w:fldCharType="end"/>
      </w:r>
    </w:p>
    <w:sectPr w:rsidR="007843C9" w:rsidRPr="00DC623A" w:rsidSect="00F125EE">
      <w:headerReference w:type="default" r:id="rId14"/>
      <w:footerReference w:type="default" r:id="rId15"/>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61BE2" w14:textId="77777777" w:rsidR="009E35C7" w:rsidRDefault="009E35C7">
      <w:r>
        <w:separator/>
      </w:r>
    </w:p>
  </w:endnote>
  <w:endnote w:type="continuationSeparator" w:id="0">
    <w:p w14:paraId="4E6642FC" w14:textId="77777777" w:rsidR="009E35C7" w:rsidRDefault="009E35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96907" w14:textId="7EFF20DE" w:rsidR="00F125EE" w:rsidRDefault="00114193">
    <w:pPr>
      <w:pStyle w:val="Footer"/>
      <w:jc w:val="right"/>
    </w:pPr>
    <w:r>
      <w:fldChar w:fldCharType="begin"/>
    </w:r>
    <w:r>
      <w:instrText xml:space="preserve"> PAGE   \* MERGEFORMAT </w:instrText>
    </w:r>
    <w:r>
      <w:fldChar w:fldCharType="separate"/>
    </w:r>
    <w:r w:rsidR="00DC623A">
      <w:rPr>
        <w:noProof/>
      </w:rPr>
      <w:t>1</w:t>
    </w:r>
    <w:r>
      <w:fldChar w:fldCharType="end"/>
    </w:r>
  </w:p>
  <w:p w14:paraId="180EEFF6"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4076611" w14:textId="77777777" w:rsidR="009E35C7" w:rsidRDefault="009E35C7">
      <w:r>
        <w:separator/>
      </w:r>
    </w:p>
  </w:footnote>
  <w:footnote w:type="continuationSeparator" w:id="0">
    <w:p w14:paraId="31CFBBAC" w14:textId="77777777" w:rsidR="009E35C7" w:rsidRDefault="009E35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40DC9" w14:textId="77777777" w:rsidR="003A2FD8" w:rsidRPr="005001AC" w:rsidRDefault="003A2FD8" w:rsidP="005001AC">
    <w:pPr>
      <w:jc w:val="right"/>
      <w:rPr>
        <w:sz w:val="20"/>
      </w:rPr>
    </w:pPr>
  </w:p>
  <w:p w14:paraId="0091C365"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10F80"/>
    <w:multiLevelType w:val="hybridMultilevel"/>
    <w:tmpl w:val="C220C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963FF"/>
    <w:multiLevelType w:val="hybridMultilevel"/>
    <w:tmpl w:val="43A20FFE"/>
    <w:lvl w:ilvl="0" w:tplc="041866E8">
      <w:start w:val="2020"/>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F8D4926"/>
    <w:multiLevelType w:val="hybridMultilevel"/>
    <w:tmpl w:val="2FCC0058"/>
    <w:lvl w:ilvl="0" w:tplc="7FF6799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116BDC"/>
    <w:multiLevelType w:val="hybridMultilevel"/>
    <w:tmpl w:val="1D98BF46"/>
    <w:lvl w:ilvl="0" w:tplc="F40C2976">
      <w:start w:val="202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004B2"/>
    <w:rsid w:val="00015F74"/>
    <w:rsid w:val="00017C53"/>
    <w:rsid w:val="00030840"/>
    <w:rsid w:val="00065EBD"/>
    <w:rsid w:val="00083B44"/>
    <w:rsid w:val="000850DC"/>
    <w:rsid w:val="000A41E4"/>
    <w:rsid w:val="000B7822"/>
    <w:rsid w:val="000C2771"/>
    <w:rsid w:val="000E3634"/>
    <w:rsid w:val="000F0DCE"/>
    <w:rsid w:val="00112C5B"/>
    <w:rsid w:val="00114193"/>
    <w:rsid w:val="00115A38"/>
    <w:rsid w:val="0011687B"/>
    <w:rsid w:val="00124F82"/>
    <w:rsid w:val="00162A43"/>
    <w:rsid w:val="0016337A"/>
    <w:rsid w:val="00164269"/>
    <w:rsid w:val="001A1BDE"/>
    <w:rsid w:val="001C0520"/>
    <w:rsid w:val="001C0975"/>
    <w:rsid w:val="001F0876"/>
    <w:rsid w:val="001F167C"/>
    <w:rsid w:val="001F5E91"/>
    <w:rsid w:val="002077B9"/>
    <w:rsid w:val="00215182"/>
    <w:rsid w:val="00227FEE"/>
    <w:rsid w:val="00262D72"/>
    <w:rsid w:val="00286FE5"/>
    <w:rsid w:val="00294FBB"/>
    <w:rsid w:val="002C030F"/>
    <w:rsid w:val="002C667A"/>
    <w:rsid w:val="00325D90"/>
    <w:rsid w:val="00331D75"/>
    <w:rsid w:val="00332BFB"/>
    <w:rsid w:val="003375A5"/>
    <w:rsid w:val="00355362"/>
    <w:rsid w:val="00360CC9"/>
    <w:rsid w:val="00363E44"/>
    <w:rsid w:val="003727C3"/>
    <w:rsid w:val="00376C80"/>
    <w:rsid w:val="00387114"/>
    <w:rsid w:val="00395E86"/>
    <w:rsid w:val="00397983"/>
    <w:rsid w:val="003A2FD8"/>
    <w:rsid w:val="003B40E6"/>
    <w:rsid w:val="003E1853"/>
    <w:rsid w:val="003F6E14"/>
    <w:rsid w:val="00405336"/>
    <w:rsid w:val="004571D5"/>
    <w:rsid w:val="00461D81"/>
    <w:rsid w:val="0046356B"/>
    <w:rsid w:val="00477182"/>
    <w:rsid w:val="004779CB"/>
    <w:rsid w:val="004A159F"/>
    <w:rsid w:val="004A5853"/>
    <w:rsid w:val="004B2F21"/>
    <w:rsid w:val="004B3375"/>
    <w:rsid w:val="004E42D8"/>
    <w:rsid w:val="004E72B3"/>
    <w:rsid w:val="004E7BA2"/>
    <w:rsid w:val="004F7EDF"/>
    <w:rsid w:val="005001AC"/>
    <w:rsid w:val="00527D71"/>
    <w:rsid w:val="005607DD"/>
    <w:rsid w:val="005A558C"/>
    <w:rsid w:val="005B5F37"/>
    <w:rsid w:val="005D088E"/>
    <w:rsid w:val="005E28F8"/>
    <w:rsid w:val="005E6513"/>
    <w:rsid w:val="006069C6"/>
    <w:rsid w:val="00611A19"/>
    <w:rsid w:val="006140DF"/>
    <w:rsid w:val="00651114"/>
    <w:rsid w:val="0065772A"/>
    <w:rsid w:val="00670299"/>
    <w:rsid w:val="00691985"/>
    <w:rsid w:val="006A1B64"/>
    <w:rsid w:val="006D169A"/>
    <w:rsid w:val="006E3E68"/>
    <w:rsid w:val="007108F5"/>
    <w:rsid w:val="00713E5B"/>
    <w:rsid w:val="007402FC"/>
    <w:rsid w:val="007411A1"/>
    <w:rsid w:val="00763345"/>
    <w:rsid w:val="007843C9"/>
    <w:rsid w:val="00791731"/>
    <w:rsid w:val="00797F24"/>
    <w:rsid w:val="007B5946"/>
    <w:rsid w:val="007F5297"/>
    <w:rsid w:val="00807D35"/>
    <w:rsid w:val="00820484"/>
    <w:rsid w:val="00824DF3"/>
    <w:rsid w:val="00835DC2"/>
    <w:rsid w:val="00840BB2"/>
    <w:rsid w:val="00885C9B"/>
    <w:rsid w:val="008A30A8"/>
    <w:rsid w:val="008A6A90"/>
    <w:rsid w:val="008C069B"/>
    <w:rsid w:val="008C4F1C"/>
    <w:rsid w:val="008D5D2A"/>
    <w:rsid w:val="008F70E0"/>
    <w:rsid w:val="00914B63"/>
    <w:rsid w:val="009258B8"/>
    <w:rsid w:val="009354F3"/>
    <w:rsid w:val="00943C3C"/>
    <w:rsid w:val="009447DC"/>
    <w:rsid w:val="009519CF"/>
    <w:rsid w:val="00961BA5"/>
    <w:rsid w:val="009743A9"/>
    <w:rsid w:val="009A5287"/>
    <w:rsid w:val="009A670E"/>
    <w:rsid w:val="009B2AC5"/>
    <w:rsid w:val="009B7984"/>
    <w:rsid w:val="009E35C7"/>
    <w:rsid w:val="009F4BED"/>
    <w:rsid w:val="009F7D93"/>
    <w:rsid w:val="00A3403B"/>
    <w:rsid w:val="00A51A12"/>
    <w:rsid w:val="00A627D4"/>
    <w:rsid w:val="00A72B81"/>
    <w:rsid w:val="00A74DA2"/>
    <w:rsid w:val="00A912B5"/>
    <w:rsid w:val="00AC15B4"/>
    <w:rsid w:val="00AD499C"/>
    <w:rsid w:val="00AE5A70"/>
    <w:rsid w:val="00B003EE"/>
    <w:rsid w:val="00B15008"/>
    <w:rsid w:val="00B16F99"/>
    <w:rsid w:val="00B36869"/>
    <w:rsid w:val="00B42F9C"/>
    <w:rsid w:val="00B43B31"/>
    <w:rsid w:val="00B47CFA"/>
    <w:rsid w:val="00B57F00"/>
    <w:rsid w:val="00B77B2A"/>
    <w:rsid w:val="00B82C22"/>
    <w:rsid w:val="00B8723B"/>
    <w:rsid w:val="00B93DBA"/>
    <w:rsid w:val="00B9440A"/>
    <w:rsid w:val="00BB2D2A"/>
    <w:rsid w:val="00BD58CF"/>
    <w:rsid w:val="00C046DC"/>
    <w:rsid w:val="00C04CC1"/>
    <w:rsid w:val="00C43442"/>
    <w:rsid w:val="00C47714"/>
    <w:rsid w:val="00C50C6D"/>
    <w:rsid w:val="00C600D9"/>
    <w:rsid w:val="00CC1384"/>
    <w:rsid w:val="00CD3720"/>
    <w:rsid w:val="00CF16C9"/>
    <w:rsid w:val="00CF1848"/>
    <w:rsid w:val="00CF5C2F"/>
    <w:rsid w:val="00D04BCF"/>
    <w:rsid w:val="00D143D9"/>
    <w:rsid w:val="00D269AB"/>
    <w:rsid w:val="00D346C2"/>
    <w:rsid w:val="00D67E35"/>
    <w:rsid w:val="00DA22DA"/>
    <w:rsid w:val="00DA59EA"/>
    <w:rsid w:val="00DC623A"/>
    <w:rsid w:val="00DD421A"/>
    <w:rsid w:val="00E257C8"/>
    <w:rsid w:val="00E37047"/>
    <w:rsid w:val="00E60D0F"/>
    <w:rsid w:val="00E65995"/>
    <w:rsid w:val="00E9773B"/>
    <w:rsid w:val="00EA596B"/>
    <w:rsid w:val="00EC13A3"/>
    <w:rsid w:val="00EC7C85"/>
    <w:rsid w:val="00F04CD9"/>
    <w:rsid w:val="00F125EE"/>
    <w:rsid w:val="00F12E98"/>
    <w:rsid w:val="00F22029"/>
    <w:rsid w:val="00F25DEF"/>
    <w:rsid w:val="00F514EC"/>
    <w:rsid w:val="00F60CD4"/>
    <w:rsid w:val="00F630EA"/>
    <w:rsid w:val="00F7007E"/>
    <w:rsid w:val="00F70200"/>
    <w:rsid w:val="00F73193"/>
    <w:rsid w:val="00F74F95"/>
    <w:rsid w:val="00F80705"/>
    <w:rsid w:val="00FA1481"/>
    <w:rsid w:val="00FF0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7D1EA8"/>
  <w15:docId w15:val="{44D555E4-DB32-4E4E-914C-3E579D6D7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basedOn w:val="DefaultParagraphFont"/>
    <w:link w:val="Heading1"/>
    <w:semiHidden/>
    <w:rsid w:val="00FF04E3"/>
    <w:rPr>
      <w:b/>
      <w:bCs/>
      <w:kern w:val="32"/>
      <w:sz w:val="24"/>
      <w:szCs w:val="24"/>
    </w:rPr>
  </w:style>
  <w:style w:type="character" w:customStyle="1" w:styleId="Heading2Char">
    <w:name w:val="Heading 2 Char"/>
    <w:basedOn w:val="DefaultParagraphFont"/>
    <w:link w:val="Heading2"/>
    <w:semiHidden/>
    <w:rsid w:val="00FF04E3"/>
    <w:rPr>
      <w:rFonts w:ascii="Cambria" w:hAnsi="Cambria"/>
      <w:b/>
      <w:bCs/>
      <w:i/>
      <w:iCs/>
      <w:sz w:val="28"/>
      <w:szCs w:val="28"/>
    </w:rPr>
  </w:style>
  <w:style w:type="character" w:customStyle="1" w:styleId="Heading5Char">
    <w:name w:val="Heading 5 Char"/>
    <w:basedOn w:val="DefaultParagraphFont"/>
    <w:link w:val="Heading5"/>
    <w:semiHidden/>
    <w:rsid w:val="00FF04E3"/>
    <w:rPr>
      <w:rFonts w:ascii="Calibri" w:hAnsi="Calibri"/>
      <w:b/>
      <w:bCs/>
      <w:i/>
      <w:iCs/>
      <w:sz w:val="26"/>
      <w:szCs w:val="26"/>
    </w:rPr>
  </w:style>
  <w:style w:type="character" w:customStyle="1" w:styleId="Heading6Char">
    <w:name w:val="Heading 6 Char"/>
    <w:basedOn w:val="DefaultParagraphFont"/>
    <w:link w:val="Heading6"/>
    <w:semiHidden/>
    <w:rsid w:val="00FF04E3"/>
    <w:rPr>
      <w:rFonts w:ascii="Calibri" w:hAnsi="Calibri"/>
      <w:b/>
      <w:bCs/>
      <w:sz w:val="22"/>
      <w:szCs w:val="22"/>
    </w:rPr>
  </w:style>
  <w:style w:type="character" w:customStyle="1" w:styleId="Heading7Char">
    <w:name w:val="Heading 7 Char"/>
    <w:basedOn w:val="DefaultParagraphFont"/>
    <w:link w:val="Heading7"/>
    <w:semiHidden/>
    <w:rsid w:val="00FF04E3"/>
    <w:rPr>
      <w:rFonts w:ascii="Calibri" w:hAnsi="Calibri"/>
      <w:sz w:val="24"/>
      <w:szCs w:val="24"/>
    </w:rPr>
  </w:style>
  <w:style w:type="character" w:customStyle="1" w:styleId="Heading8Char">
    <w:name w:val="Heading 8 Char"/>
    <w:basedOn w:val="DefaultParagraphFont"/>
    <w:link w:val="Heading8"/>
    <w:semiHidden/>
    <w:rsid w:val="00FF04E3"/>
    <w:rPr>
      <w:rFonts w:ascii="Calibri" w:hAnsi="Calibri"/>
      <w:i/>
      <w:iCs/>
      <w:sz w:val="24"/>
      <w:szCs w:val="24"/>
    </w:rPr>
  </w:style>
  <w:style w:type="character" w:customStyle="1" w:styleId="Heading9Char">
    <w:name w:val="Heading 9 Char"/>
    <w:basedOn w:val="DefaultParagraphFont"/>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basedOn w:val="DefaultParagraphFont"/>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tabs>
        <w:tab w:val="left" w:pos="380"/>
      </w:tabs>
      <w:spacing w:line="480" w:lineRule="auto"/>
      <w:ind w:left="384" w:hanging="384"/>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basedOn w:val="DefaultParagraphFont"/>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basedOn w:val="DefaultParagraphFont"/>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basedOn w:val="DefaultParagraphFont"/>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basedOn w:val="DefaultParagraphFont"/>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basedOn w:val="DefaultParagraphFont"/>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basedOn w:val="DefaultParagraphFont"/>
    <w:link w:val="BodyTextIndent3"/>
    <w:semiHidden/>
    <w:rsid w:val="00FF04E3"/>
    <w:rPr>
      <w:sz w:val="16"/>
      <w:szCs w:val="16"/>
    </w:rPr>
  </w:style>
  <w:style w:type="paragraph" w:styleId="Caption">
    <w:name w:val="caption"/>
    <w:basedOn w:val="Normal"/>
    <w:next w:val="Normal"/>
    <w:uiPriority w:val="35"/>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basedOn w:val="DefaultParagraphFont"/>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basedOn w:val="CommentText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basedOn w:val="DefaultParagraphFont"/>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basedOn w:val="DefaultParagraphFont"/>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basedOn w:val="DefaultParagraphFont"/>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basedOn w:val="DefaultParagraphFont"/>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basedOn w:val="DefaultParagraphFont"/>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basedOn w:val="DefaultParagraphFont"/>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basedOn w:val="DefaultParagraphFont"/>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basedOn w:val="DefaultParagraphFont"/>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basedOn w:val="DefaultParagraphFont"/>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basedOn w:val="DefaultParagraphFont"/>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basedOn w:val="DefaultParagraphFont"/>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basedOn w:val="DefaultParagraphFont"/>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basedOn w:val="DefaultParagraphFont"/>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basedOn w:val="DefaultParagraphFont"/>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basedOn w:val="DefaultParagraphFont"/>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basedOn w:val="DefaultParagraphFont"/>
    <w:semiHidden/>
    <w:rsid w:val="007402FC"/>
    <w:rPr>
      <w:color w:val="0000FF"/>
      <w:u w:val="single"/>
    </w:rPr>
  </w:style>
  <w:style w:type="character" w:styleId="Emphasis">
    <w:name w:val="Emphasis"/>
    <w:basedOn w:val="DefaultParagraphFont"/>
    <w:uiPriority w:val="20"/>
    <w:qFormat/>
    <w:rsid w:val="00B42F9C"/>
    <w:rPr>
      <w:i/>
      <w:iCs/>
    </w:rPr>
  </w:style>
  <w:style w:type="character" w:styleId="CommentReference">
    <w:name w:val="annotation reference"/>
    <w:basedOn w:val="DefaultParagraphFont"/>
    <w:semiHidden/>
    <w:rsid w:val="009258B8"/>
    <w:rPr>
      <w:sz w:val="16"/>
      <w:szCs w:val="16"/>
    </w:rPr>
  </w:style>
  <w:style w:type="character" w:styleId="FollowedHyperlink">
    <w:name w:val="FollowedHyperlink"/>
    <w:basedOn w:val="DefaultParagraphFont"/>
    <w:semiHidden/>
    <w:unhideWhenUsed/>
    <w:rsid w:val="00611A19"/>
    <w:rPr>
      <w:color w:val="800080" w:themeColor="followedHyperlink"/>
      <w:u w:val="single"/>
    </w:rPr>
  </w:style>
  <w:style w:type="table" w:styleId="TableGrid">
    <w:name w:val="Table Grid"/>
    <w:basedOn w:val="TableNormal"/>
    <w:rsid w:val="004E7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B3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3178651">
      <w:bodyDiv w:val="1"/>
      <w:marLeft w:val="0"/>
      <w:marRight w:val="0"/>
      <w:marTop w:val="0"/>
      <w:marBottom w:val="0"/>
      <w:divBdr>
        <w:top w:val="none" w:sz="0" w:space="0" w:color="auto"/>
        <w:left w:val="none" w:sz="0" w:space="0" w:color="auto"/>
        <w:bottom w:val="none" w:sz="0" w:space="0" w:color="auto"/>
        <w:right w:val="none" w:sz="0" w:space="0" w:color="auto"/>
      </w:divBdr>
    </w:div>
    <w:div w:id="146954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arie.edmonds@esc.cam.ac.uk"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BAA570-445A-4792-B7C4-EE81A5C6C5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6037</Words>
  <Characters>34414</Characters>
  <Application>Microsoft Office Word</Application>
  <DocSecurity>0</DocSecurity>
  <Lines>286</Lines>
  <Paragraphs>80</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40371</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creator>Brooks Hanson</dc:creator>
  <cp:lastModifiedBy>Marie Edmonds</cp:lastModifiedBy>
  <cp:revision>4</cp:revision>
  <cp:lastPrinted>2018-02-26T17:19:00Z</cp:lastPrinted>
  <dcterms:created xsi:type="dcterms:W3CDTF">2022-09-27T13:40:00Z</dcterms:created>
  <dcterms:modified xsi:type="dcterms:W3CDTF">2022-09-27T15:52:00Z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zotero-version="5.0.96.2"&gt;&lt;session id="ZJuKlWLy"/&gt;&lt;style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ies>
</file>